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91" w:rsidRDefault="00123FF9">
      <w:pPr>
        <w:ind w:left="5245" w:right="76"/>
        <w:jc w:val="both"/>
        <w:rPr>
          <w:b/>
        </w:rPr>
      </w:pPr>
      <w:r>
        <w:rPr>
          <w:sz w:val="26"/>
          <w:szCs w:val="26"/>
        </w:rPr>
        <w:t xml:space="preserve">Принят решением </w:t>
      </w:r>
      <w:r>
        <w:rPr>
          <w:sz w:val="26"/>
          <w:szCs w:val="26"/>
        </w:rPr>
        <w:t>Ельцовск</w:t>
      </w:r>
      <w:r>
        <w:rPr>
          <w:sz w:val="26"/>
          <w:szCs w:val="26"/>
        </w:rPr>
        <w:t xml:space="preserve">ого районного Совета депутатов от </w:t>
      </w:r>
      <w:r>
        <w:rPr>
          <w:sz w:val="26"/>
          <w:szCs w:val="26"/>
        </w:rPr>
        <w:t>28</w:t>
      </w:r>
      <w:r>
        <w:rPr>
          <w:sz w:val="26"/>
          <w:szCs w:val="26"/>
        </w:rPr>
        <w:t>.03.202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B736B9">
        <w:rPr>
          <w:sz w:val="26"/>
          <w:szCs w:val="26"/>
        </w:rPr>
        <w:t>61</w:t>
      </w:r>
    </w:p>
    <w:p w:rsidR="00631591" w:rsidRDefault="00631591">
      <w:pPr>
        <w:ind w:firstLine="709"/>
        <w:jc w:val="center"/>
        <w:rPr>
          <w:b/>
        </w:rPr>
      </w:pPr>
    </w:p>
    <w:p w:rsidR="00631591" w:rsidRDefault="00631591">
      <w:pPr>
        <w:ind w:firstLine="709"/>
        <w:jc w:val="center"/>
        <w:rPr>
          <w:b/>
        </w:rPr>
      </w:pPr>
    </w:p>
    <w:p w:rsidR="00631591" w:rsidRDefault="00123F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631591" w:rsidRDefault="00123F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КОНТРОЛЬНО-СЧЁТНОЙ </w:t>
      </w:r>
      <w:r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МУНИЦИПАЛЬНОГО ОБРАЗОВАНИЯ ЕЛЬЦОВСКИЙ</w:t>
      </w:r>
      <w:r>
        <w:rPr>
          <w:b/>
          <w:sz w:val="28"/>
          <w:szCs w:val="28"/>
        </w:rPr>
        <w:t xml:space="preserve"> РАЙОН АЛТАЙСКОГО КРАЯ</w:t>
      </w:r>
    </w:p>
    <w:p w:rsidR="00631591" w:rsidRDefault="00123F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631591" w:rsidRDefault="00631591">
      <w:pPr>
        <w:ind w:firstLine="709"/>
        <w:jc w:val="center"/>
        <w:rPr>
          <w:b/>
          <w:sz w:val="28"/>
          <w:szCs w:val="28"/>
        </w:rPr>
      </w:pPr>
    </w:p>
    <w:p w:rsidR="00631591" w:rsidRDefault="00123FF9">
      <w:pPr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деятельности Контрольно-счётной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муниципального образования Ельцовский</w:t>
      </w:r>
      <w:r>
        <w:rPr>
          <w:sz w:val="28"/>
          <w:szCs w:val="28"/>
        </w:rPr>
        <w:t xml:space="preserve"> район Алтайского края (далее-Контрольно-счётная </w:t>
      </w:r>
      <w:r>
        <w:rPr>
          <w:sz w:val="28"/>
          <w:szCs w:val="28"/>
        </w:rPr>
        <w:t>комиссия</w:t>
      </w:r>
      <w:r>
        <w:rPr>
          <w:sz w:val="28"/>
          <w:szCs w:val="28"/>
        </w:rPr>
        <w:t>) за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год, результатах контрольных и экспертно-аналитических мероприятий подготовлен с учётом требований части 2 статьи 19 Федерального закона от 07 февраля </w:t>
      </w:r>
      <w:r>
        <w:rPr>
          <w:sz w:val="28"/>
          <w:szCs w:val="28"/>
        </w:rPr>
        <w:t xml:space="preserve">2011 года № 6-ФЗ «Об общих принципах организации и деятельности Контрольно-счётных органов субъектов Российской Федерации и муниципальных образований», Положения о Контрольно-счётной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Ельцовский</w:t>
      </w:r>
      <w:r>
        <w:rPr>
          <w:sz w:val="28"/>
          <w:szCs w:val="28"/>
        </w:rPr>
        <w:t xml:space="preserve"> район Алтайского края, утве</w:t>
      </w:r>
      <w:r>
        <w:rPr>
          <w:sz w:val="28"/>
          <w:szCs w:val="28"/>
        </w:rPr>
        <w:t xml:space="preserve">ржденного решением </w:t>
      </w:r>
      <w:r>
        <w:rPr>
          <w:sz w:val="28"/>
          <w:szCs w:val="28"/>
        </w:rPr>
        <w:t>Ельцовск</w:t>
      </w:r>
      <w:r>
        <w:rPr>
          <w:sz w:val="28"/>
          <w:szCs w:val="28"/>
        </w:rPr>
        <w:t xml:space="preserve">ого районного Совета депутатов от </w:t>
      </w:r>
      <w:r>
        <w:rPr>
          <w:sz w:val="28"/>
          <w:szCs w:val="28"/>
        </w:rPr>
        <w:t>21</w:t>
      </w:r>
      <w:r>
        <w:rPr>
          <w:sz w:val="28"/>
          <w:szCs w:val="28"/>
        </w:rPr>
        <w:t>июн</w:t>
      </w:r>
      <w:r>
        <w:rPr>
          <w:sz w:val="28"/>
          <w:szCs w:val="28"/>
        </w:rPr>
        <w:t>я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91</w:t>
      </w:r>
      <w:r>
        <w:rPr>
          <w:sz w:val="28"/>
          <w:szCs w:val="28"/>
        </w:rPr>
        <w:t>, в соответствии с Планом работы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год, утвержденным председателем Контрольно-счётной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631591" w:rsidRDefault="00123FF9">
      <w:pPr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формирования годового отчета о деятельности ко</w:t>
      </w:r>
      <w:r>
        <w:rPr>
          <w:sz w:val="28"/>
          <w:szCs w:val="28"/>
        </w:rPr>
        <w:t xml:space="preserve">нтрольно-счётной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является обобщение и систематизация результатов деятельности по проведению внешнего муниципального финансового контроля за отчетный год.</w:t>
      </w:r>
    </w:p>
    <w:p w:rsidR="00631591" w:rsidRDefault="00631591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631591" w:rsidRDefault="00123FF9">
      <w:pPr>
        <w:numPr>
          <w:ilvl w:val="0"/>
          <w:numId w:val="1"/>
        </w:numPr>
        <w:tabs>
          <w:tab w:val="left" w:pos="142"/>
        </w:tabs>
        <w:ind w:left="0" w:firstLine="709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Общее положение</w:t>
      </w:r>
    </w:p>
    <w:p w:rsidR="00631591" w:rsidRDefault="00631591">
      <w:pPr>
        <w:tabs>
          <w:tab w:val="left" w:pos="142"/>
        </w:tabs>
        <w:ind w:left="709"/>
        <w:rPr>
          <w:color w:val="000000"/>
          <w:sz w:val="28"/>
          <w:szCs w:val="28"/>
        </w:rPr>
      </w:pPr>
    </w:p>
    <w:p w:rsidR="00631591" w:rsidRDefault="00123FF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Контрольно-счётная </w:t>
      </w:r>
      <w:r>
        <w:rPr>
          <w:color w:val="000000"/>
          <w:sz w:val="28"/>
          <w:szCs w:val="28"/>
        </w:rPr>
        <w:t>комиссия</w:t>
      </w:r>
      <w:r>
        <w:rPr>
          <w:color w:val="000000"/>
          <w:sz w:val="28"/>
          <w:szCs w:val="28"/>
        </w:rPr>
        <w:t xml:space="preserve"> в своей деятельности руководствуется Конституцией Российской Федерации, Бюджетным кодексом Российской Федерации, Федеральным законом № 131-ФЗ, Федеральным законодательством, иными нормативными правовыми актами субъекта Российской Федерации, Уставом муници</w:t>
      </w:r>
      <w:r>
        <w:rPr>
          <w:color w:val="000000"/>
          <w:sz w:val="28"/>
          <w:szCs w:val="28"/>
        </w:rPr>
        <w:t xml:space="preserve">пального образования </w:t>
      </w:r>
      <w:r>
        <w:rPr>
          <w:color w:val="000000"/>
          <w:sz w:val="28"/>
          <w:szCs w:val="28"/>
        </w:rPr>
        <w:t>Ельцовский</w:t>
      </w:r>
      <w:r>
        <w:rPr>
          <w:color w:val="000000"/>
          <w:sz w:val="28"/>
          <w:szCs w:val="28"/>
        </w:rPr>
        <w:t xml:space="preserve">район, Положением о Контрольно-счётной </w:t>
      </w:r>
      <w:r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муниципального образования Ельцовский</w:t>
      </w:r>
      <w:r>
        <w:rPr>
          <w:color w:val="000000"/>
          <w:sz w:val="28"/>
          <w:szCs w:val="28"/>
        </w:rPr>
        <w:t xml:space="preserve"> район Алтайского края, Положением о бюджетном процессе и финансовом контроле в </w:t>
      </w:r>
      <w:r>
        <w:rPr>
          <w:color w:val="000000"/>
          <w:sz w:val="28"/>
          <w:szCs w:val="28"/>
        </w:rPr>
        <w:t>Ельцовском</w:t>
      </w:r>
      <w:r>
        <w:rPr>
          <w:color w:val="000000"/>
          <w:sz w:val="28"/>
          <w:szCs w:val="28"/>
        </w:rPr>
        <w:t xml:space="preserve">районе Алтайского края, </w:t>
      </w:r>
      <w:r>
        <w:rPr>
          <w:sz w:val="28"/>
          <w:szCs w:val="28"/>
        </w:rPr>
        <w:t>Стандартом организации дея</w:t>
      </w:r>
      <w:r>
        <w:rPr>
          <w:sz w:val="28"/>
          <w:szCs w:val="28"/>
        </w:rPr>
        <w:t xml:space="preserve">тельности (СОД </w:t>
      </w:r>
      <w:r>
        <w:rPr>
          <w:sz w:val="28"/>
          <w:szCs w:val="28"/>
        </w:rPr>
        <w:t>2</w:t>
      </w:r>
      <w:r>
        <w:rPr>
          <w:sz w:val="28"/>
          <w:szCs w:val="28"/>
        </w:rPr>
        <w:t>) «Отчет о деятельности контрольно-счётной палаты за год».</w:t>
      </w:r>
    </w:p>
    <w:p w:rsidR="00631591" w:rsidRDefault="00123FF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Контрольно-счётная </w:t>
      </w:r>
      <w:r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образована Решением сессии </w:t>
      </w:r>
      <w:r>
        <w:rPr>
          <w:sz w:val="28"/>
          <w:szCs w:val="28"/>
        </w:rPr>
        <w:t>Ельцовского</w:t>
      </w:r>
      <w:r>
        <w:rPr>
          <w:sz w:val="28"/>
          <w:szCs w:val="28"/>
        </w:rPr>
        <w:t xml:space="preserve"> районного Совета депутатов и ему подотчётна, является постоянно действующим органом внешнего муниципального финансо</w:t>
      </w:r>
      <w:r>
        <w:rPr>
          <w:sz w:val="28"/>
          <w:szCs w:val="28"/>
        </w:rPr>
        <w:t xml:space="preserve">вого контроля, </w:t>
      </w:r>
      <w:r>
        <w:rPr>
          <w:color w:val="000000"/>
          <w:sz w:val="28"/>
          <w:szCs w:val="28"/>
        </w:rPr>
        <w:t xml:space="preserve">обладает организационной и функциональной независимостью,  </w:t>
      </w:r>
      <w:r>
        <w:rPr>
          <w:color w:val="000000"/>
          <w:sz w:val="28"/>
          <w:szCs w:val="28"/>
        </w:rPr>
        <w:lastRenderedPageBreak/>
        <w:t xml:space="preserve">осуществляет свою деятельность самостоятельно, имеет бланки со своим наименованием. </w:t>
      </w:r>
    </w:p>
    <w:p w:rsidR="00631591" w:rsidRDefault="00123FF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Контрольно-счётная </w:t>
      </w:r>
      <w:r>
        <w:rPr>
          <w:sz w:val="28"/>
          <w:szCs w:val="28"/>
        </w:rPr>
        <w:t>комиссияЕльцовско</w:t>
      </w:r>
      <w:r>
        <w:rPr>
          <w:sz w:val="28"/>
          <w:szCs w:val="28"/>
        </w:rPr>
        <w:t>го района входит в состав Совета контрольно-счётных органов А</w:t>
      </w:r>
      <w:r>
        <w:rPr>
          <w:sz w:val="28"/>
          <w:szCs w:val="28"/>
        </w:rPr>
        <w:t>лтайского края при Счетной палате Алтайского края.</w:t>
      </w:r>
    </w:p>
    <w:p w:rsidR="00631591" w:rsidRDefault="00123FF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Штатная фактическая численность сотрудников </w:t>
      </w:r>
      <w:r>
        <w:rPr>
          <w:color w:val="000000"/>
          <w:sz w:val="28"/>
          <w:szCs w:val="28"/>
        </w:rPr>
        <w:t xml:space="preserve">Контрольно-счётной </w:t>
      </w:r>
      <w:r>
        <w:rPr>
          <w:color w:val="000000"/>
          <w:sz w:val="28"/>
          <w:szCs w:val="28"/>
        </w:rPr>
        <w:t>комиссии</w:t>
      </w:r>
      <w:r>
        <w:rPr>
          <w:sz w:val="28"/>
          <w:szCs w:val="28"/>
        </w:rPr>
        <w:t>составляет один человек.</w:t>
      </w:r>
    </w:p>
    <w:p w:rsidR="00631591" w:rsidRDefault="00123FF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Область действия контрольных полномочий Контрольно-счётной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в соответствии с Положением о Контрольно-</w:t>
      </w:r>
      <w:r>
        <w:rPr>
          <w:sz w:val="28"/>
          <w:szCs w:val="28"/>
        </w:rPr>
        <w:t xml:space="preserve">счётной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>распространяется на органы местного самоуправления, муниципальные учреждения и муниципальные унитарные предприятия, а также иные организации, которые используют имущество, находящееся в собственности муниципального образования.</w:t>
      </w:r>
    </w:p>
    <w:p w:rsidR="00631591" w:rsidRDefault="00123FF9">
      <w:pPr>
        <w:tabs>
          <w:tab w:val="left" w:pos="142"/>
        </w:tabs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В целях испо</w:t>
      </w:r>
      <w:r>
        <w:rPr>
          <w:spacing w:val="4"/>
          <w:sz w:val="28"/>
          <w:szCs w:val="28"/>
        </w:rPr>
        <w:t xml:space="preserve">лнения установленных полномочий Контрольно-счётной </w:t>
      </w:r>
      <w:r>
        <w:rPr>
          <w:spacing w:val="4"/>
          <w:sz w:val="28"/>
          <w:szCs w:val="28"/>
        </w:rPr>
        <w:t>комиссией</w:t>
      </w:r>
      <w:r>
        <w:rPr>
          <w:spacing w:val="4"/>
          <w:sz w:val="28"/>
          <w:szCs w:val="28"/>
        </w:rPr>
        <w:t xml:space="preserve">  осуществлялась контрольная, экспертно-аналитическая и иная деятельность, основанная на принципах законности, объективности, эффективности, независимости, открытости и гласности.</w:t>
      </w:r>
    </w:p>
    <w:p w:rsidR="00631591" w:rsidRDefault="00123FF9">
      <w:pPr>
        <w:tabs>
          <w:tab w:val="left" w:pos="142"/>
        </w:tabs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Проведенные Контрольно-счётной </w:t>
      </w:r>
      <w:r>
        <w:rPr>
          <w:spacing w:val="4"/>
          <w:sz w:val="28"/>
          <w:szCs w:val="28"/>
        </w:rPr>
        <w:t>комиссией</w:t>
      </w:r>
      <w:r>
        <w:rPr>
          <w:spacing w:val="4"/>
          <w:sz w:val="28"/>
          <w:szCs w:val="28"/>
        </w:rPr>
        <w:t xml:space="preserve"> в 202</w:t>
      </w:r>
      <w:r>
        <w:rPr>
          <w:spacing w:val="4"/>
          <w:sz w:val="28"/>
          <w:szCs w:val="28"/>
        </w:rPr>
        <w:t>2</w:t>
      </w:r>
      <w:r>
        <w:rPr>
          <w:spacing w:val="4"/>
          <w:sz w:val="28"/>
          <w:szCs w:val="28"/>
        </w:rPr>
        <w:t xml:space="preserve"> году контрольные и экспертно-аналитические мероприятия осуществлялись в соответствии с Планом работы, утвержденным распоряжением председателя Контрольно-счётной палаты от </w:t>
      </w:r>
      <w:r>
        <w:rPr>
          <w:spacing w:val="4"/>
          <w:sz w:val="28"/>
          <w:szCs w:val="28"/>
        </w:rPr>
        <w:t>23</w:t>
      </w:r>
      <w:r>
        <w:rPr>
          <w:spacing w:val="4"/>
          <w:sz w:val="28"/>
          <w:szCs w:val="28"/>
        </w:rPr>
        <w:t xml:space="preserve"> декабря 202</w:t>
      </w:r>
      <w:r>
        <w:rPr>
          <w:spacing w:val="4"/>
          <w:sz w:val="28"/>
          <w:szCs w:val="28"/>
        </w:rPr>
        <w:t>1</w:t>
      </w:r>
      <w:r>
        <w:rPr>
          <w:spacing w:val="4"/>
          <w:sz w:val="28"/>
          <w:szCs w:val="28"/>
        </w:rPr>
        <w:t xml:space="preserve"> года № 0</w:t>
      </w:r>
      <w:r>
        <w:rPr>
          <w:spacing w:val="4"/>
          <w:sz w:val="28"/>
          <w:szCs w:val="28"/>
        </w:rPr>
        <w:t>5</w:t>
      </w:r>
      <w:r>
        <w:rPr>
          <w:spacing w:val="4"/>
          <w:sz w:val="28"/>
          <w:szCs w:val="28"/>
        </w:rPr>
        <w:t>.</w:t>
      </w:r>
    </w:p>
    <w:p w:rsidR="00631591" w:rsidRDefault="00123FF9">
      <w:pPr>
        <w:tabs>
          <w:tab w:val="left" w:pos="142"/>
        </w:tabs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Полномочия по внешнему муниципальному финансовому контролю, переданному представительными органами сельских поселений муниципального образования </w:t>
      </w:r>
      <w:r>
        <w:rPr>
          <w:spacing w:val="4"/>
          <w:sz w:val="28"/>
          <w:szCs w:val="28"/>
        </w:rPr>
        <w:t>Ельцовский</w:t>
      </w:r>
      <w:r>
        <w:rPr>
          <w:spacing w:val="4"/>
          <w:sz w:val="28"/>
          <w:szCs w:val="28"/>
        </w:rPr>
        <w:t>район, осуществлялись в соответствии с заключенными соглашениями.</w:t>
      </w:r>
    </w:p>
    <w:p w:rsidR="00631591" w:rsidRDefault="00123FF9">
      <w:pPr>
        <w:pStyle w:val="a9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отчетном году отмечается приорите</w:t>
      </w:r>
      <w:r>
        <w:rPr>
          <w:sz w:val="28"/>
          <w:szCs w:val="28"/>
        </w:rPr>
        <w:t xml:space="preserve">т </w:t>
      </w:r>
      <w:r>
        <w:rPr>
          <w:sz w:val="28"/>
          <w:szCs w:val="28"/>
          <w:lang w:val="it-IT"/>
        </w:rPr>
        <w:t>экспертно-аналитических</w:t>
      </w:r>
      <w:r>
        <w:rPr>
          <w:sz w:val="28"/>
          <w:szCs w:val="28"/>
        </w:rPr>
        <w:t xml:space="preserve"> мероприятий, направленных на предупреждение возможных проблем в использовании муниципальных ресурсов.</w:t>
      </w:r>
    </w:p>
    <w:p w:rsidR="00631591" w:rsidRDefault="00123FF9">
      <w:pPr>
        <w:pStyle w:val="a9"/>
        <w:tabs>
          <w:tab w:val="left" w:pos="142"/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акцента на аналитическом направлении работы отражает тенденция развития муниципального финансового контроля в Российс</w:t>
      </w:r>
      <w:r>
        <w:rPr>
          <w:sz w:val="28"/>
          <w:szCs w:val="28"/>
        </w:rPr>
        <w:t>кой Федерации и соответствует поставленной задаче – сосредоточить работу на предупреждении возможных нарушений и неэффективных затрат, что требует усиления именно экспертизы проектов нормативно-правовых актов о бюджете и о внесении в него изменений (доходн</w:t>
      </w:r>
      <w:r>
        <w:rPr>
          <w:sz w:val="28"/>
          <w:szCs w:val="28"/>
        </w:rPr>
        <w:t>ой, расходной части),  являющихся основой формирования бюджета,иных решений, затрагивающих бюджетные правоотношения, а также анализа текущего исполнения бюджета .</w:t>
      </w:r>
    </w:p>
    <w:p w:rsidR="00631591" w:rsidRDefault="00123FF9">
      <w:pPr>
        <w:pStyle w:val="a9"/>
        <w:tabs>
          <w:tab w:val="left" w:pos="142"/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место в деятельности Контрольно-счётной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в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году уделено реализации полном</w:t>
      </w:r>
      <w:r>
        <w:rPr>
          <w:sz w:val="28"/>
          <w:szCs w:val="28"/>
        </w:rPr>
        <w:t xml:space="preserve">очий органа внешнего муниципального финансового контроля в части реализации контрольных и экспертно-аналитических мероприятий для оценки состояния бюджета муниципального образования </w:t>
      </w:r>
      <w:r>
        <w:rPr>
          <w:sz w:val="28"/>
          <w:szCs w:val="28"/>
        </w:rPr>
        <w:t>Ельцовский</w:t>
      </w:r>
      <w:r>
        <w:rPr>
          <w:sz w:val="28"/>
          <w:szCs w:val="28"/>
        </w:rPr>
        <w:t xml:space="preserve"> район и бюджет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 поселений.</w:t>
      </w:r>
    </w:p>
    <w:p w:rsidR="00631591" w:rsidRDefault="00123FF9">
      <w:pPr>
        <w:tabs>
          <w:tab w:val="left" w:pos="142"/>
          <w:tab w:val="left" w:pos="284"/>
          <w:tab w:val="left" w:pos="709"/>
        </w:tabs>
        <w:ind w:firstLine="709"/>
        <w:jc w:val="both"/>
        <w:rPr>
          <w:rStyle w:val="s2"/>
          <w:sz w:val="28"/>
          <w:szCs w:val="28"/>
        </w:rPr>
      </w:pPr>
      <w:r>
        <w:rPr>
          <w:spacing w:val="4"/>
          <w:sz w:val="28"/>
          <w:szCs w:val="28"/>
        </w:rPr>
        <w:t>Общие итоги деятельности Контрольн</w:t>
      </w:r>
      <w:r>
        <w:rPr>
          <w:spacing w:val="4"/>
          <w:sz w:val="28"/>
          <w:szCs w:val="28"/>
        </w:rPr>
        <w:t xml:space="preserve">о-счётной палаты за </w:t>
      </w:r>
      <w:r>
        <w:rPr>
          <w:bCs/>
          <w:spacing w:val="4"/>
          <w:sz w:val="28"/>
          <w:szCs w:val="28"/>
        </w:rPr>
        <w:t>202</w:t>
      </w:r>
      <w:r>
        <w:rPr>
          <w:bCs/>
          <w:spacing w:val="4"/>
          <w:sz w:val="28"/>
          <w:szCs w:val="28"/>
        </w:rPr>
        <w:t>2</w:t>
      </w:r>
      <w:r>
        <w:rPr>
          <w:spacing w:val="4"/>
          <w:sz w:val="28"/>
          <w:szCs w:val="28"/>
        </w:rPr>
        <w:t xml:space="preserve"> год характеризуются следующими показателями: в целях обеспечения предварительного, оперативного и последующего контроля формирования </w:t>
      </w:r>
      <w:r>
        <w:rPr>
          <w:spacing w:val="4"/>
          <w:sz w:val="28"/>
          <w:szCs w:val="28"/>
        </w:rPr>
        <w:lastRenderedPageBreak/>
        <w:t>и исполнения бюджета в 202</w:t>
      </w:r>
      <w:r>
        <w:rPr>
          <w:spacing w:val="4"/>
          <w:sz w:val="28"/>
          <w:szCs w:val="28"/>
        </w:rPr>
        <w:t>2</w:t>
      </w:r>
      <w:r>
        <w:rPr>
          <w:spacing w:val="4"/>
          <w:sz w:val="28"/>
          <w:szCs w:val="28"/>
        </w:rPr>
        <w:t xml:space="preserve"> году контрольно-счетной палатой проведено  </w:t>
      </w:r>
      <w:r>
        <w:rPr>
          <w:spacing w:val="4"/>
          <w:sz w:val="28"/>
          <w:szCs w:val="28"/>
        </w:rPr>
        <w:t>8</w:t>
      </w:r>
      <w:r>
        <w:rPr>
          <w:spacing w:val="4"/>
          <w:sz w:val="28"/>
          <w:szCs w:val="28"/>
        </w:rPr>
        <w:t xml:space="preserve"> экспертно-аналитических (</w:t>
      </w:r>
      <w:r>
        <w:rPr>
          <w:spacing w:val="4"/>
          <w:sz w:val="28"/>
          <w:szCs w:val="28"/>
        </w:rPr>
        <w:t xml:space="preserve">экспертиза проектов бюджетов, проектов решений о внесении изменений в бюджет района) и </w:t>
      </w:r>
      <w:r>
        <w:rPr>
          <w:spacing w:val="4"/>
          <w:sz w:val="28"/>
          <w:szCs w:val="28"/>
        </w:rPr>
        <w:t>8</w:t>
      </w:r>
      <w:r>
        <w:rPr>
          <w:rStyle w:val="s2"/>
          <w:sz w:val="28"/>
          <w:szCs w:val="28"/>
        </w:rPr>
        <w:t xml:space="preserve"> контрольных мероприяти</w:t>
      </w:r>
      <w:r>
        <w:rPr>
          <w:rStyle w:val="s2"/>
          <w:sz w:val="28"/>
          <w:szCs w:val="28"/>
        </w:rPr>
        <w:t>й</w:t>
      </w:r>
      <w:r>
        <w:rPr>
          <w:rStyle w:val="s2"/>
          <w:sz w:val="28"/>
          <w:szCs w:val="28"/>
        </w:rPr>
        <w:t xml:space="preserve"> (проверка отчетов об исполнении бюджета района, </w:t>
      </w:r>
      <w:r>
        <w:rPr>
          <w:rStyle w:val="s2"/>
          <w:sz w:val="28"/>
          <w:szCs w:val="28"/>
        </w:rPr>
        <w:t>бюджетов</w:t>
      </w:r>
      <w:r>
        <w:rPr>
          <w:rStyle w:val="s2"/>
          <w:sz w:val="28"/>
          <w:szCs w:val="28"/>
        </w:rPr>
        <w:t xml:space="preserve"> поселений за </w:t>
      </w:r>
      <w:r>
        <w:rPr>
          <w:rStyle w:val="s2"/>
          <w:sz w:val="28"/>
          <w:szCs w:val="28"/>
        </w:rPr>
        <w:t>2022</w:t>
      </w:r>
      <w:r>
        <w:rPr>
          <w:rStyle w:val="s2"/>
          <w:sz w:val="28"/>
          <w:szCs w:val="28"/>
        </w:rPr>
        <w:t>г.,</w:t>
      </w:r>
      <w:r>
        <w:rPr>
          <w:sz w:val="28"/>
          <w:szCs w:val="28"/>
        </w:rPr>
        <w:t xml:space="preserve"> исполнении бюджета за 1 квартал </w:t>
      </w:r>
      <w:r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)</w:t>
      </w:r>
      <w:r>
        <w:rPr>
          <w:rStyle w:val="s2"/>
          <w:sz w:val="28"/>
          <w:szCs w:val="28"/>
        </w:rPr>
        <w:t>.</w:t>
      </w:r>
    </w:p>
    <w:p w:rsidR="00631591" w:rsidRDefault="00631591">
      <w:pPr>
        <w:tabs>
          <w:tab w:val="left" w:pos="142"/>
        </w:tabs>
        <w:ind w:firstLine="709"/>
        <w:rPr>
          <w:sz w:val="28"/>
          <w:szCs w:val="28"/>
        </w:rPr>
      </w:pPr>
    </w:p>
    <w:p w:rsidR="00631591" w:rsidRDefault="00123FF9">
      <w:pPr>
        <w:numPr>
          <w:ilvl w:val="0"/>
          <w:numId w:val="1"/>
        </w:numPr>
        <w:tabs>
          <w:tab w:val="left" w:pos="142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Экспертно-аналитические мероприятия</w:t>
      </w:r>
    </w:p>
    <w:p w:rsidR="00631591" w:rsidRDefault="00631591">
      <w:pPr>
        <w:tabs>
          <w:tab w:val="left" w:pos="142"/>
        </w:tabs>
        <w:ind w:left="709"/>
        <w:rPr>
          <w:b/>
          <w:sz w:val="28"/>
          <w:szCs w:val="28"/>
        </w:rPr>
      </w:pPr>
    </w:p>
    <w:p w:rsidR="00631591" w:rsidRDefault="00123FF9">
      <w:pPr>
        <w:ind w:right="-1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рамках предварительного контроля, в соответствии с Бюджетным кодексом Российской Федерации, Уставом района, Положением «О контрольно-счётной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Ельцовский</w:t>
      </w:r>
      <w:r>
        <w:rPr>
          <w:sz w:val="28"/>
          <w:szCs w:val="28"/>
        </w:rPr>
        <w:t xml:space="preserve"> район Алтайского края», Положе</w:t>
      </w:r>
      <w:r>
        <w:rPr>
          <w:sz w:val="28"/>
          <w:szCs w:val="28"/>
        </w:rPr>
        <w:t xml:space="preserve">нием  «О бюджетном устройстве и финансовом контроле в </w:t>
      </w:r>
      <w:r>
        <w:rPr>
          <w:sz w:val="28"/>
          <w:szCs w:val="28"/>
        </w:rPr>
        <w:t>Ельцовском</w:t>
      </w:r>
      <w:r>
        <w:rPr>
          <w:sz w:val="28"/>
          <w:szCs w:val="28"/>
        </w:rPr>
        <w:t xml:space="preserve"> районе Алтайского края», была  проведена экспертиза проекта решения </w:t>
      </w:r>
      <w:r>
        <w:rPr>
          <w:sz w:val="28"/>
          <w:szCs w:val="28"/>
        </w:rPr>
        <w:t>Ельцовского</w:t>
      </w:r>
      <w:r>
        <w:rPr>
          <w:sz w:val="28"/>
          <w:szCs w:val="28"/>
        </w:rPr>
        <w:t xml:space="preserve"> районного Совета депутатов «О районном бюджете муниципального образования </w:t>
      </w:r>
      <w:r>
        <w:rPr>
          <w:sz w:val="28"/>
          <w:szCs w:val="28"/>
        </w:rPr>
        <w:t>Ельцовский</w:t>
      </w:r>
      <w:r>
        <w:rPr>
          <w:sz w:val="28"/>
          <w:szCs w:val="28"/>
        </w:rPr>
        <w:t xml:space="preserve"> район Алтайского края на 2</w:t>
      </w:r>
      <w:r>
        <w:rPr>
          <w:sz w:val="28"/>
          <w:szCs w:val="28"/>
        </w:rPr>
        <w:t>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год» , проектов решений Советов депутатов сельсоветов о бюджетах муниципальных образований, входящих в состав </w:t>
      </w:r>
      <w:r>
        <w:rPr>
          <w:sz w:val="28"/>
          <w:szCs w:val="28"/>
        </w:rPr>
        <w:t>Ельцовского</w:t>
      </w:r>
      <w:r>
        <w:rPr>
          <w:sz w:val="28"/>
          <w:szCs w:val="28"/>
        </w:rPr>
        <w:t>района, а также экспертиза проектов решений о внесении изменений в доходную и расходную части бюджета района</w:t>
      </w:r>
      <w:r>
        <w:rPr>
          <w:sz w:val="28"/>
          <w:szCs w:val="28"/>
        </w:rPr>
        <w:t>.</w:t>
      </w:r>
    </w:p>
    <w:p w:rsidR="00631591" w:rsidRDefault="00123FF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cs="Tahoma"/>
          <w:sz w:val="28"/>
          <w:szCs w:val="28"/>
        </w:rPr>
      </w:pPr>
      <w:r>
        <w:rPr>
          <w:spacing w:val="4"/>
          <w:sz w:val="28"/>
          <w:szCs w:val="28"/>
        </w:rPr>
        <w:t>Экспертно-аналитическ</w:t>
      </w:r>
      <w:r>
        <w:rPr>
          <w:spacing w:val="4"/>
          <w:sz w:val="28"/>
          <w:szCs w:val="28"/>
        </w:rPr>
        <w:t xml:space="preserve">имимероприятиями </w:t>
      </w:r>
      <w:r>
        <w:rPr>
          <w:sz w:val="28"/>
          <w:szCs w:val="28"/>
        </w:rPr>
        <w:t xml:space="preserve">охвачено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объектов контроля, которыми являются</w:t>
      </w:r>
      <w:r>
        <w:rPr>
          <w:rFonts w:cs="Tahoma"/>
          <w:sz w:val="28"/>
          <w:szCs w:val="28"/>
        </w:rPr>
        <w:t xml:space="preserve"> органы местного самоуправления. </w:t>
      </w:r>
    </w:p>
    <w:p w:rsidR="00631591" w:rsidRDefault="00123FF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экспертного характера, проводимые в отчетном году, составляли основу контроля над бюджетом муниципального образования </w:t>
      </w:r>
      <w:r>
        <w:rPr>
          <w:sz w:val="28"/>
          <w:szCs w:val="28"/>
        </w:rPr>
        <w:t>Ельцовский</w:t>
      </w:r>
      <w:r>
        <w:rPr>
          <w:sz w:val="28"/>
          <w:szCs w:val="28"/>
        </w:rPr>
        <w:t xml:space="preserve">район и бюджетами </w:t>
      </w:r>
      <w:r>
        <w:rPr>
          <w:sz w:val="28"/>
          <w:szCs w:val="28"/>
        </w:rPr>
        <w:t>шести</w:t>
      </w:r>
      <w:r>
        <w:rPr>
          <w:sz w:val="28"/>
          <w:szCs w:val="28"/>
        </w:rPr>
        <w:t xml:space="preserve"> поселений в течение всего периода. Они осуществлялись в форме предварительного контроля перед принятием проекта бюджета на очередной финансовый год, текущего контроля непосредственно в ходе его исполнения в отчетном году и внесения в него изменений и</w:t>
      </w:r>
      <w:r>
        <w:rPr>
          <w:sz w:val="28"/>
          <w:szCs w:val="28"/>
        </w:rPr>
        <w:t xml:space="preserve"> дополнений, последующего контроля по итогам исполнения бюджета за отчетный финансовый год.</w:t>
      </w:r>
    </w:p>
    <w:p w:rsidR="00631591" w:rsidRDefault="00123FF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экспертно-аналитической деятельности основное внимание уделялось предупреждению и профилактике нарушений бюджетного законодательства, определению </w:t>
      </w:r>
      <w:r>
        <w:rPr>
          <w:sz w:val="28"/>
          <w:szCs w:val="28"/>
        </w:rPr>
        <w:t>эффективности и целесообразности расходования финансовых ресурсов.</w:t>
      </w:r>
    </w:p>
    <w:p w:rsidR="00631591" w:rsidRDefault="00631591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631591" w:rsidRDefault="00123FF9">
      <w:pPr>
        <w:numPr>
          <w:ilvl w:val="0"/>
          <w:numId w:val="1"/>
        </w:numPr>
        <w:tabs>
          <w:tab w:val="left" w:pos="142"/>
        </w:tabs>
        <w:ind w:left="0" w:right="-1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Контрольные мероприятия. </w:t>
      </w:r>
    </w:p>
    <w:p w:rsidR="00631591" w:rsidRDefault="00631591">
      <w:pPr>
        <w:tabs>
          <w:tab w:val="left" w:pos="142"/>
        </w:tabs>
        <w:ind w:left="709" w:right="-1"/>
        <w:rPr>
          <w:b/>
          <w:sz w:val="28"/>
          <w:szCs w:val="28"/>
        </w:rPr>
      </w:pPr>
    </w:p>
    <w:p w:rsidR="00631591" w:rsidRDefault="00123FF9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году, в рамках внешней проверки отчета об исполнении бюджета </w:t>
      </w:r>
      <w:r>
        <w:rPr>
          <w:sz w:val="28"/>
          <w:szCs w:val="28"/>
        </w:rPr>
        <w:t>Ельцовск</w:t>
      </w:r>
      <w:r>
        <w:rPr>
          <w:sz w:val="28"/>
          <w:szCs w:val="28"/>
        </w:rPr>
        <w:t>ого района за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год проведены проверки соблюдения порядка составления и предоставл</w:t>
      </w:r>
      <w:r>
        <w:rPr>
          <w:sz w:val="28"/>
          <w:szCs w:val="28"/>
        </w:rPr>
        <w:t>ения бюджетной отчетности главных распорядителей и получателей бюджетных средств, которые показали, что бюджетная отчетность представлен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в соответствии с действующим законодательством.</w:t>
      </w:r>
    </w:p>
    <w:p w:rsidR="00631591" w:rsidRDefault="00123FF9">
      <w:pPr>
        <w:tabs>
          <w:tab w:val="left" w:pos="142"/>
        </w:tabs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Целью проведения внешней проверки годового отчета об исполнении местно</w:t>
      </w:r>
      <w:r>
        <w:rPr>
          <w:rFonts w:cs="Arial"/>
          <w:sz w:val="28"/>
          <w:szCs w:val="28"/>
        </w:rPr>
        <w:t xml:space="preserve">го бюджета является определение достоверности, полноты отражения </w:t>
      </w:r>
      <w:r>
        <w:rPr>
          <w:rFonts w:cs="Arial"/>
          <w:sz w:val="28"/>
          <w:szCs w:val="28"/>
        </w:rPr>
        <w:lastRenderedPageBreak/>
        <w:t>показателей годовой бюджетной отчетности и соответствия порядка ведения бюджетного учета в муниципальных образованиях законодательству РФ.</w:t>
      </w:r>
    </w:p>
    <w:p w:rsidR="00631591" w:rsidRDefault="00123FF9">
      <w:pPr>
        <w:tabs>
          <w:tab w:val="left" w:pos="142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В результате Контрольно-счетной </w:t>
      </w:r>
      <w:r>
        <w:rPr>
          <w:rFonts w:cs="Arial"/>
          <w:sz w:val="28"/>
          <w:szCs w:val="28"/>
        </w:rPr>
        <w:t>комиссией</w:t>
      </w:r>
      <w:r>
        <w:rPr>
          <w:rFonts w:cs="Arial"/>
          <w:sz w:val="28"/>
          <w:szCs w:val="28"/>
        </w:rPr>
        <w:t>установлено</w:t>
      </w:r>
      <w:r>
        <w:rPr>
          <w:rFonts w:cs="Arial"/>
          <w:sz w:val="28"/>
          <w:szCs w:val="28"/>
        </w:rPr>
        <w:t>, что по своему составу бюджетная отчетность за 202</w:t>
      </w:r>
      <w:r>
        <w:rPr>
          <w:rFonts w:cs="Arial"/>
          <w:sz w:val="28"/>
          <w:szCs w:val="28"/>
        </w:rPr>
        <w:t>1</w:t>
      </w:r>
      <w:r>
        <w:rPr>
          <w:rFonts w:cs="Arial"/>
          <w:sz w:val="28"/>
          <w:szCs w:val="28"/>
        </w:rPr>
        <w:t xml:space="preserve"> год соответствовала требованиям Приказа Минфина РФ от 28 декабря 2010 г. № 191н «Об утверждении Инструкции о порядке составления и представления годовой, квартальной и месячной отчетности об исполнении б</w:t>
      </w:r>
      <w:r>
        <w:rPr>
          <w:rFonts w:cs="Arial"/>
          <w:sz w:val="28"/>
          <w:szCs w:val="28"/>
        </w:rPr>
        <w:t>юджетов бюджетной системы Российской Федерации» (с изменениями и дополнениями).</w:t>
      </w:r>
    </w:p>
    <w:p w:rsidR="00631591" w:rsidRDefault="00123FF9">
      <w:pPr>
        <w:ind w:right="-1"/>
        <w:jc w:val="both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Целью проводимых контрольных мероприятий является осуществление контроля по соблюдению требований действующего законодательства при исполнении финансово-хозяйственно</w:t>
      </w:r>
      <w:r>
        <w:rPr>
          <w:rFonts w:cs="Arial"/>
          <w:sz w:val="28"/>
          <w:szCs w:val="28"/>
        </w:rPr>
        <w:t xml:space="preserve">й деятельности муниципальных учреждений, определение законности, эффективности, результативности и целевого использования средств, выделяемых как из бюджета края, так и из бюджета муниципального образования </w:t>
      </w:r>
      <w:r>
        <w:rPr>
          <w:rFonts w:cs="Arial"/>
          <w:sz w:val="28"/>
          <w:szCs w:val="28"/>
        </w:rPr>
        <w:t>Ельцовский</w:t>
      </w:r>
      <w:r>
        <w:rPr>
          <w:rFonts w:cs="Arial"/>
          <w:sz w:val="28"/>
          <w:szCs w:val="28"/>
        </w:rPr>
        <w:t xml:space="preserve"> район.</w:t>
      </w:r>
    </w:p>
    <w:p w:rsidR="00631591" w:rsidRDefault="00123FF9">
      <w:pPr>
        <w:tabs>
          <w:tab w:val="left" w:pos="142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Неэффективного и нецелевого </w:t>
      </w:r>
      <w:r>
        <w:rPr>
          <w:rFonts w:cs="Arial"/>
          <w:sz w:val="28"/>
          <w:szCs w:val="28"/>
        </w:rPr>
        <w:t>расходования средств местного бюджета не выявлено.</w:t>
      </w:r>
    </w:p>
    <w:p w:rsidR="00631591" w:rsidRDefault="00631591">
      <w:pPr>
        <w:tabs>
          <w:tab w:val="left" w:pos="142"/>
        </w:tabs>
        <w:ind w:firstLine="709"/>
        <w:jc w:val="both"/>
        <w:rPr>
          <w:rFonts w:cs="Arial"/>
          <w:sz w:val="28"/>
          <w:szCs w:val="28"/>
        </w:rPr>
      </w:pPr>
    </w:p>
    <w:p w:rsidR="00631591" w:rsidRDefault="00123FF9">
      <w:pPr>
        <w:pStyle w:val="ac"/>
        <w:numPr>
          <w:ilvl w:val="0"/>
          <w:numId w:val="1"/>
        </w:numPr>
        <w:tabs>
          <w:tab w:val="left" w:pos="142"/>
        </w:tabs>
        <w:ind w:left="0" w:right="-1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Взаимодействие со Счетной палатой Алтайского края. </w:t>
      </w:r>
    </w:p>
    <w:p w:rsidR="00631591" w:rsidRDefault="00631591">
      <w:pPr>
        <w:pStyle w:val="ac"/>
        <w:tabs>
          <w:tab w:val="left" w:pos="142"/>
        </w:tabs>
        <w:ind w:left="1429"/>
        <w:jc w:val="both"/>
        <w:rPr>
          <w:rFonts w:cs="Arial"/>
          <w:sz w:val="28"/>
          <w:szCs w:val="28"/>
        </w:rPr>
      </w:pPr>
    </w:p>
    <w:p w:rsidR="00631591" w:rsidRDefault="00123FF9">
      <w:pPr>
        <w:tabs>
          <w:tab w:val="left" w:pos="142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Сотрудничество контрольно-счетной </w:t>
      </w:r>
      <w:r>
        <w:rPr>
          <w:rFonts w:cs="Arial"/>
          <w:sz w:val="28"/>
          <w:szCs w:val="28"/>
        </w:rPr>
        <w:t>комиссии</w:t>
      </w:r>
      <w:r>
        <w:rPr>
          <w:rFonts w:cs="Arial"/>
          <w:sz w:val="28"/>
          <w:szCs w:val="28"/>
        </w:rPr>
        <w:t xml:space="preserve"> со Счетной палатой Алтайского края осуществлялось в рамках участия в обучающих семинарах в режиме видеоконференции, организованных Счетной палатой Алтайского края, посвященных наиболее актуальным вопросам, возникающим в части внесения изменений в законода</w:t>
      </w:r>
      <w:r>
        <w:rPr>
          <w:rFonts w:cs="Arial"/>
          <w:sz w:val="28"/>
          <w:szCs w:val="28"/>
        </w:rPr>
        <w:t>тельство (6-ФЗ «Об общих принципах организации и деятельности контрольно-счетных органов субъектов РФ и муниципальных образований»),а также в ходе финансового аудита.</w:t>
      </w:r>
    </w:p>
    <w:p w:rsidR="00631591" w:rsidRDefault="00123FF9">
      <w:pPr>
        <w:tabs>
          <w:tab w:val="left" w:pos="142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Полученный опыт используется контрольно-счетной </w:t>
      </w:r>
      <w:r>
        <w:rPr>
          <w:rFonts w:cs="Arial"/>
          <w:sz w:val="28"/>
          <w:szCs w:val="28"/>
        </w:rPr>
        <w:t>комиссией</w:t>
      </w:r>
      <w:r>
        <w:rPr>
          <w:rFonts w:cs="Arial"/>
          <w:sz w:val="28"/>
          <w:szCs w:val="28"/>
        </w:rPr>
        <w:t xml:space="preserve"> при организации и проведении ко</w:t>
      </w:r>
      <w:r>
        <w:rPr>
          <w:rFonts w:cs="Arial"/>
          <w:sz w:val="28"/>
          <w:szCs w:val="28"/>
        </w:rPr>
        <w:t>нтрольных и экспертно-аналитических мероприятий.</w:t>
      </w:r>
    </w:p>
    <w:p w:rsidR="00631591" w:rsidRDefault="00123FF9">
      <w:pPr>
        <w:ind w:right="-1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Вся деятельность контрольно-счетной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в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году была направлена на защиту государственных интересов в области бюджета, финансов, хозяйственно-экономических и имущественных отношений. Приоритетными н</w:t>
      </w:r>
      <w:r>
        <w:rPr>
          <w:sz w:val="28"/>
          <w:szCs w:val="28"/>
        </w:rPr>
        <w:t xml:space="preserve">аправлениями деятельности контрольно-счетной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в плане на 2022 год предусмотрено осуществление комплекса контрольных, экспертно-аналитических мероприятий, обеспечивающих реализацию полномочий, возложенных на контрольно-счетную палату Бюджетным кодек</w:t>
      </w:r>
      <w:r>
        <w:rPr>
          <w:sz w:val="28"/>
          <w:szCs w:val="28"/>
        </w:rPr>
        <w:t xml:space="preserve">сом РФ, Федеральным законом 6-ФЗ «Об общих принципах организации и деятельности контрольно-счетных органов субъектов РФ и муниципальных образований», Положением «О контрольно-счетной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муниципального образования Ельцовский район</w:t>
      </w:r>
      <w:r>
        <w:rPr>
          <w:sz w:val="28"/>
          <w:szCs w:val="28"/>
        </w:rPr>
        <w:t xml:space="preserve"> Алтайского края».</w:t>
      </w:r>
    </w:p>
    <w:p w:rsidR="00631591" w:rsidRDefault="00631591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631591" w:rsidRDefault="00123FF9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. Информационная и организационная деятельность.</w:t>
      </w:r>
    </w:p>
    <w:p w:rsidR="00631591" w:rsidRDefault="00631591">
      <w:pPr>
        <w:tabs>
          <w:tab w:val="left" w:pos="142"/>
        </w:tabs>
        <w:ind w:firstLine="709"/>
        <w:jc w:val="both"/>
        <w:rPr>
          <w:b/>
          <w:color w:val="FF0000"/>
          <w:sz w:val="28"/>
          <w:szCs w:val="28"/>
        </w:rPr>
      </w:pPr>
    </w:p>
    <w:p w:rsidR="00631591" w:rsidRDefault="00123FF9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году разработаны и утверждены следующие Стандарты внешнего муниципального финансового контроля:«Экспертиза проекта бюджета на очередной финансовый год»;</w:t>
      </w:r>
    </w:p>
    <w:p w:rsidR="00631591" w:rsidRDefault="00123FF9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году разработаны и утверждены следующи</w:t>
      </w:r>
      <w:r>
        <w:rPr>
          <w:sz w:val="28"/>
          <w:szCs w:val="28"/>
        </w:rPr>
        <w:t>е Стандарты организации деятельности:</w:t>
      </w:r>
    </w:p>
    <w:p w:rsidR="00631591" w:rsidRDefault="00123FF9">
      <w:pPr>
        <w:pStyle w:val="ac"/>
        <w:numPr>
          <w:ilvl w:val="0"/>
          <w:numId w:val="2"/>
        </w:numPr>
        <w:tabs>
          <w:tab w:val="left" w:pos="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Style w:val="fontstyle01"/>
          <w:b w:val="0"/>
          <w:sz w:val="28"/>
          <w:szCs w:val="28"/>
        </w:rPr>
        <w:t xml:space="preserve">Планирование работы контрольно-счетной </w:t>
      </w:r>
      <w:r>
        <w:rPr>
          <w:rStyle w:val="fontstyle01"/>
          <w:b w:val="0"/>
          <w:sz w:val="28"/>
          <w:szCs w:val="28"/>
        </w:rPr>
        <w:t>комиссии</w:t>
      </w:r>
      <w:r>
        <w:rPr>
          <w:rStyle w:val="fontstyle01"/>
          <w:b w:val="0"/>
          <w:sz w:val="28"/>
          <w:szCs w:val="28"/>
        </w:rPr>
        <w:t xml:space="preserve"> Ельцовского</w:t>
      </w:r>
      <w:r>
        <w:rPr>
          <w:rStyle w:val="fontstyle01"/>
          <w:b w:val="0"/>
          <w:sz w:val="28"/>
          <w:szCs w:val="28"/>
        </w:rPr>
        <w:t xml:space="preserve"> района</w:t>
      </w:r>
      <w:r>
        <w:rPr>
          <w:sz w:val="28"/>
          <w:szCs w:val="28"/>
        </w:rPr>
        <w:t>»;</w:t>
      </w:r>
    </w:p>
    <w:p w:rsidR="00631591" w:rsidRDefault="00123FF9">
      <w:pPr>
        <w:numPr>
          <w:ilvl w:val="0"/>
          <w:numId w:val="2"/>
        </w:numPr>
        <w:tabs>
          <w:tab w:val="left" w:pos="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«Порядок подготовки годового отчета о деятельности контрольно-счетной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Ельцовского</w:t>
      </w:r>
      <w:r>
        <w:rPr>
          <w:sz w:val="28"/>
          <w:szCs w:val="28"/>
        </w:rPr>
        <w:t xml:space="preserve"> района Алтайского края».</w:t>
      </w:r>
    </w:p>
    <w:p w:rsidR="00631591" w:rsidRDefault="00123FF9">
      <w:pPr>
        <w:pStyle w:val="a9"/>
        <w:tabs>
          <w:tab w:val="left" w:pos="-180"/>
          <w:tab w:val="left" w:pos="14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работы контрольно-счетной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 выполнен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>в полном объеме</w:t>
      </w:r>
      <w:r>
        <w:rPr>
          <w:sz w:val="28"/>
          <w:szCs w:val="28"/>
        </w:rPr>
        <w:t xml:space="preserve"> в</w:t>
      </w:r>
      <w:r>
        <w:rPr>
          <w:rFonts w:cs="Arial"/>
          <w:bCs/>
          <w:sz w:val="28"/>
          <w:szCs w:val="28"/>
        </w:rPr>
        <w:t xml:space="preserve"> связи с увольнением и сменой председателя контрольно-счетной комиссии.</w:t>
      </w:r>
    </w:p>
    <w:p w:rsidR="00631591" w:rsidRDefault="00123FF9">
      <w:pPr>
        <w:pStyle w:val="a9"/>
        <w:tabs>
          <w:tab w:val="left" w:pos="-180"/>
          <w:tab w:val="left" w:pos="14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 и утвержден План работы контрольно-счетной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631591" w:rsidRDefault="00123FF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доступа к информации о своей деятельнос</w:t>
      </w:r>
      <w:r>
        <w:rPr>
          <w:sz w:val="28"/>
          <w:szCs w:val="28"/>
        </w:rPr>
        <w:t>ти КСО размещает на официальном сайте (</w:t>
      </w:r>
      <w:hyperlink r:id="rId7" w:history="1">
        <w:r>
          <w:rPr>
            <w:rStyle w:val="a3"/>
            <w:sz w:val="28"/>
            <w:szCs w:val="28"/>
          </w:rPr>
          <w:t>elcovka.adm@mail.ru</w:t>
        </w:r>
      </w:hyperlink>
      <w:r>
        <w:rPr>
          <w:sz w:val="28"/>
          <w:szCs w:val="28"/>
        </w:rPr>
        <w:t xml:space="preserve">) администрации Ельцовского района в  сети Интернет информацию о </w:t>
      </w:r>
      <w:r>
        <w:rPr>
          <w:sz w:val="28"/>
          <w:szCs w:val="28"/>
        </w:rPr>
        <w:t>проведенных</w:t>
      </w:r>
      <w:r>
        <w:rPr>
          <w:sz w:val="28"/>
          <w:szCs w:val="28"/>
        </w:rPr>
        <w:t>мероприятиях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Создан почтовый адрес: </w:t>
      </w:r>
      <w:r>
        <w:rPr>
          <w:sz w:val="28"/>
          <w:szCs w:val="28"/>
          <w:lang w:val="en-US"/>
        </w:rPr>
        <w:t>ksp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elc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 Созданы официальные стра</w:t>
      </w:r>
      <w:r>
        <w:rPr>
          <w:sz w:val="28"/>
          <w:szCs w:val="28"/>
        </w:rPr>
        <w:t>ницы в соцсетях (Вконтакте и Одниклассники).</w:t>
      </w:r>
    </w:p>
    <w:p w:rsidR="00631591" w:rsidRDefault="00631591">
      <w:pPr>
        <w:tabs>
          <w:tab w:val="left" w:pos="709"/>
        </w:tabs>
        <w:jc w:val="both"/>
        <w:rPr>
          <w:sz w:val="28"/>
          <w:szCs w:val="28"/>
        </w:rPr>
      </w:pPr>
    </w:p>
    <w:p w:rsidR="00631591" w:rsidRDefault="00631591">
      <w:pPr>
        <w:tabs>
          <w:tab w:val="left" w:pos="709"/>
        </w:tabs>
        <w:jc w:val="both"/>
        <w:rPr>
          <w:sz w:val="28"/>
          <w:szCs w:val="28"/>
        </w:rPr>
      </w:pPr>
    </w:p>
    <w:p w:rsidR="00631591" w:rsidRDefault="00631591">
      <w:pPr>
        <w:tabs>
          <w:tab w:val="left" w:pos="709"/>
        </w:tabs>
        <w:jc w:val="both"/>
        <w:rPr>
          <w:sz w:val="28"/>
          <w:szCs w:val="28"/>
        </w:rPr>
      </w:pPr>
    </w:p>
    <w:p w:rsidR="00631591" w:rsidRDefault="00123FF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31591" w:rsidRDefault="00123FF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Е.Г. Мархинина</w:t>
      </w:r>
      <w:bookmarkStart w:id="0" w:name="_GoBack"/>
      <w:bookmarkEnd w:id="0"/>
    </w:p>
    <w:p w:rsidR="00631591" w:rsidRDefault="00631591">
      <w:pPr>
        <w:tabs>
          <w:tab w:val="left" w:pos="709"/>
        </w:tabs>
        <w:jc w:val="both"/>
        <w:rPr>
          <w:sz w:val="28"/>
          <w:szCs w:val="28"/>
        </w:rPr>
      </w:pPr>
    </w:p>
    <w:p w:rsidR="00631591" w:rsidRDefault="00631591">
      <w:pPr>
        <w:ind w:right="-1"/>
        <w:jc w:val="both"/>
        <w:outlineLvl w:val="0"/>
        <w:rPr>
          <w:sz w:val="28"/>
          <w:szCs w:val="28"/>
        </w:rPr>
      </w:pPr>
    </w:p>
    <w:p w:rsidR="00631591" w:rsidRDefault="00631591">
      <w:pPr>
        <w:pStyle w:val="a9"/>
        <w:tabs>
          <w:tab w:val="left" w:pos="-180"/>
          <w:tab w:val="left" w:pos="142"/>
        </w:tabs>
        <w:ind w:firstLine="709"/>
        <w:jc w:val="both"/>
        <w:rPr>
          <w:color w:val="FF0000"/>
          <w:sz w:val="28"/>
          <w:szCs w:val="28"/>
        </w:rPr>
      </w:pPr>
    </w:p>
    <w:p w:rsidR="00631591" w:rsidRDefault="00631591">
      <w:pPr>
        <w:pStyle w:val="a9"/>
        <w:tabs>
          <w:tab w:val="left" w:pos="-180"/>
          <w:tab w:val="left" w:pos="142"/>
        </w:tabs>
        <w:ind w:firstLine="709"/>
        <w:jc w:val="both"/>
        <w:rPr>
          <w:color w:val="FF0000"/>
        </w:rPr>
      </w:pPr>
    </w:p>
    <w:p w:rsidR="00631591" w:rsidRDefault="00631591">
      <w:pPr>
        <w:pStyle w:val="a9"/>
        <w:tabs>
          <w:tab w:val="left" w:pos="-180"/>
          <w:tab w:val="left" w:pos="142"/>
        </w:tabs>
        <w:ind w:firstLine="709"/>
        <w:jc w:val="both"/>
        <w:rPr>
          <w:color w:val="FF0000"/>
        </w:rPr>
      </w:pPr>
    </w:p>
    <w:p w:rsidR="00631591" w:rsidRDefault="00631591">
      <w:pPr>
        <w:pStyle w:val="a9"/>
        <w:tabs>
          <w:tab w:val="left" w:pos="-180"/>
          <w:tab w:val="left" w:pos="142"/>
        </w:tabs>
        <w:ind w:firstLine="709"/>
        <w:jc w:val="both"/>
        <w:rPr>
          <w:color w:val="FF0000"/>
        </w:rPr>
      </w:pPr>
    </w:p>
    <w:p w:rsidR="00631591" w:rsidRDefault="00631591">
      <w:pPr>
        <w:pStyle w:val="a9"/>
        <w:tabs>
          <w:tab w:val="left" w:pos="-180"/>
          <w:tab w:val="left" w:pos="142"/>
        </w:tabs>
        <w:ind w:firstLine="709"/>
        <w:jc w:val="both"/>
        <w:rPr>
          <w:color w:val="FF0000"/>
        </w:rPr>
      </w:pPr>
    </w:p>
    <w:sectPr w:rsidR="00631591" w:rsidSect="00631591">
      <w:pgSz w:w="11906" w:h="16838"/>
      <w:pgMar w:top="1134" w:right="850" w:bottom="1134" w:left="1701" w:header="397" w:footer="39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FF9" w:rsidRDefault="00123FF9">
      <w:r>
        <w:separator/>
      </w:r>
    </w:p>
  </w:endnote>
  <w:endnote w:type="continuationSeparator" w:id="1">
    <w:p w:rsidR="00123FF9" w:rsidRDefault="00123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FF9" w:rsidRDefault="00123FF9">
      <w:r>
        <w:separator/>
      </w:r>
    </w:p>
  </w:footnote>
  <w:footnote w:type="continuationSeparator" w:id="1">
    <w:p w:rsidR="00123FF9" w:rsidRDefault="00123F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5193"/>
    <w:multiLevelType w:val="multilevel"/>
    <w:tmpl w:val="0A355193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19531B1"/>
    <w:multiLevelType w:val="multilevel"/>
    <w:tmpl w:val="419531B1"/>
    <w:lvl w:ilvl="0">
      <w:start w:val="1"/>
      <w:numFmt w:val="decimal"/>
      <w:lvlText w:val="%1."/>
      <w:lvlJc w:val="left"/>
      <w:pPr>
        <w:ind w:left="780" w:hanging="360"/>
      </w:pPr>
      <w:rPr>
        <w:rFonts w:cs="Tahoma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739"/>
    <w:rsid w:val="00014FF2"/>
    <w:rsid w:val="0001619C"/>
    <w:rsid w:val="00030FA7"/>
    <w:rsid w:val="0003463F"/>
    <w:rsid w:val="00042DAB"/>
    <w:rsid w:val="000509F5"/>
    <w:rsid w:val="000555DB"/>
    <w:rsid w:val="000707C4"/>
    <w:rsid w:val="000714F6"/>
    <w:rsid w:val="00085463"/>
    <w:rsid w:val="00093F59"/>
    <w:rsid w:val="000D377B"/>
    <w:rsid w:val="000F693F"/>
    <w:rsid w:val="001131E5"/>
    <w:rsid w:val="00123FF9"/>
    <w:rsid w:val="00130A07"/>
    <w:rsid w:val="00131818"/>
    <w:rsid w:val="001359A5"/>
    <w:rsid w:val="00137FC9"/>
    <w:rsid w:val="00141AA7"/>
    <w:rsid w:val="00142921"/>
    <w:rsid w:val="00171F64"/>
    <w:rsid w:val="00174E07"/>
    <w:rsid w:val="0018130C"/>
    <w:rsid w:val="001873FC"/>
    <w:rsid w:val="001A2DF2"/>
    <w:rsid w:val="001E4664"/>
    <w:rsid w:val="001E5149"/>
    <w:rsid w:val="001F0E28"/>
    <w:rsid w:val="002005EE"/>
    <w:rsid w:val="002043FE"/>
    <w:rsid w:val="00213D8F"/>
    <w:rsid w:val="00223C84"/>
    <w:rsid w:val="002611B9"/>
    <w:rsid w:val="002925E5"/>
    <w:rsid w:val="002C0713"/>
    <w:rsid w:val="002D71D8"/>
    <w:rsid w:val="002F439A"/>
    <w:rsid w:val="002F6BAE"/>
    <w:rsid w:val="00323CD1"/>
    <w:rsid w:val="00330F1F"/>
    <w:rsid w:val="00353005"/>
    <w:rsid w:val="003608F7"/>
    <w:rsid w:val="00364D13"/>
    <w:rsid w:val="00382F87"/>
    <w:rsid w:val="00387805"/>
    <w:rsid w:val="00391583"/>
    <w:rsid w:val="003A3C90"/>
    <w:rsid w:val="003B4D38"/>
    <w:rsid w:val="003C3B78"/>
    <w:rsid w:val="003C53AE"/>
    <w:rsid w:val="003C77B1"/>
    <w:rsid w:val="003D6F1C"/>
    <w:rsid w:val="003F23B3"/>
    <w:rsid w:val="003F6BEE"/>
    <w:rsid w:val="0041536C"/>
    <w:rsid w:val="00420B47"/>
    <w:rsid w:val="00425559"/>
    <w:rsid w:val="00425923"/>
    <w:rsid w:val="00431678"/>
    <w:rsid w:val="004403C8"/>
    <w:rsid w:val="004562E8"/>
    <w:rsid w:val="004655D0"/>
    <w:rsid w:val="004A49FE"/>
    <w:rsid w:val="004C29E8"/>
    <w:rsid w:val="004D1311"/>
    <w:rsid w:val="004F4957"/>
    <w:rsid w:val="004F5868"/>
    <w:rsid w:val="0050548E"/>
    <w:rsid w:val="00530298"/>
    <w:rsid w:val="005327B9"/>
    <w:rsid w:val="00532C97"/>
    <w:rsid w:val="00540F23"/>
    <w:rsid w:val="005553E9"/>
    <w:rsid w:val="0059256F"/>
    <w:rsid w:val="005A32C7"/>
    <w:rsid w:val="005A5B28"/>
    <w:rsid w:val="005B6172"/>
    <w:rsid w:val="005D1E05"/>
    <w:rsid w:val="005F4C01"/>
    <w:rsid w:val="00630E82"/>
    <w:rsid w:val="00631591"/>
    <w:rsid w:val="006400B0"/>
    <w:rsid w:val="00645A86"/>
    <w:rsid w:val="00660F03"/>
    <w:rsid w:val="00661135"/>
    <w:rsid w:val="00670E47"/>
    <w:rsid w:val="00683BD8"/>
    <w:rsid w:val="0068430A"/>
    <w:rsid w:val="0069408B"/>
    <w:rsid w:val="006D5963"/>
    <w:rsid w:val="006E492A"/>
    <w:rsid w:val="006E7D4A"/>
    <w:rsid w:val="006F22F5"/>
    <w:rsid w:val="00714EF1"/>
    <w:rsid w:val="00715B0C"/>
    <w:rsid w:val="00717B9A"/>
    <w:rsid w:val="00735122"/>
    <w:rsid w:val="0075145E"/>
    <w:rsid w:val="00765D3C"/>
    <w:rsid w:val="00772B83"/>
    <w:rsid w:val="00781300"/>
    <w:rsid w:val="0079689A"/>
    <w:rsid w:val="007A17C3"/>
    <w:rsid w:val="007A3BBE"/>
    <w:rsid w:val="007A5ECA"/>
    <w:rsid w:val="007B7BB1"/>
    <w:rsid w:val="007C0A56"/>
    <w:rsid w:val="007D1E45"/>
    <w:rsid w:val="007D22CF"/>
    <w:rsid w:val="007E5DFE"/>
    <w:rsid w:val="007F087A"/>
    <w:rsid w:val="008113C2"/>
    <w:rsid w:val="0083282C"/>
    <w:rsid w:val="008346D5"/>
    <w:rsid w:val="00836A3A"/>
    <w:rsid w:val="00864114"/>
    <w:rsid w:val="00870870"/>
    <w:rsid w:val="008969D8"/>
    <w:rsid w:val="008B09AF"/>
    <w:rsid w:val="008E0B1A"/>
    <w:rsid w:val="00913678"/>
    <w:rsid w:val="00914289"/>
    <w:rsid w:val="0093192C"/>
    <w:rsid w:val="00970BDC"/>
    <w:rsid w:val="00986F3D"/>
    <w:rsid w:val="00992984"/>
    <w:rsid w:val="009B7C70"/>
    <w:rsid w:val="009F5774"/>
    <w:rsid w:val="00A012E7"/>
    <w:rsid w:val="00A10DC5"/>
    <w:rsid w:val="00A1418C"/>
    <w:rsid w:val="00A340F9"/>
    <w:rsid w:val="00A34B88"/>
    <w:rsid w:val="00A36128"/>
    <w:rsid w:val="00A42C98"/>
    <w:rsid w:val="00A4498D"/>
    <w:rsid w:val="00A44AB2"/>
    <w:rsid w:val="00A51C62"/>
    <w:rsid w:val="00A70A09"/>
    <w:rsid w:val="00A91CD5"/>
    <w:rsid w:val="00AA27E0"/>
    <w:rsid w:val="00AA4966"/>
    <w:rsid w:val="00AD5EBF"/>
    <w:rsid w:val="00AD6A38"/>
    <w:rsid w:val="00B0555F"/>
    <w:rsid w:val="00B35962"/>
    <w:rsid w:val="00B4009D"/>
    <w:rsid w:val="00B44866"/>
    <w:rsid w:val="00B61153"/>
    <w:rsid w:val="00B70D79"/>
    <w:rsid w:val="00B736B9"/>
    <w:rsid w:val="00C0594B"/>
    <w:rsid w:val="00C05CC7"/>
    <w:rsid w:val="00C226D0"/>
    <w:rsid w:val="00C25C6F"/>
    <w:rsid w:val="00C334D5"/>
    <w:rsid w:val="00C4625A"/>
    <w:rsid w:val="00C5507E"/>
    <w:rsid w:val="00C70751"/>
    <w:rsid w:val="00C777EE"/>
    <w:rsid w:val="00C96118"/>
    <w:rsid w:val="00CB0920"/>
    <w:rsid w:val="00CC708F"/>
    <w:rsid w:val="00CF021C"/>
    <w:rsid w:val="00D014CC"/>
    <w:rsid w:val="00D0547E"/>
    <w:rsid w:val="00D21AE3"/>
    <w:rsid w:val="00D2308D"/>
    <w:rsid w:val="00D433DA"/>
    <w:rsid w:val="00D55381"/>
    <w:rsid w:val="00D75141"/>
    <w:rsid w:val="00D84002"/>
    <w:rsid w:val="00D84543"/>
    <w:rsid w:val="00D93BE6"/>
    <w:rsid w:val="00D97DF1"/>
    <w:rsid w:val="00DA7398"/>
    <w:rsid w:val="00DC3682"/>
    <w:rsid w:val="00DE274F"/>
    <w:rsid w:val="00DE33EA"/>
    <w:rsid w:val="00E10FF4"/>
    <w:rsid w:val="00E15437"/>
    <w:rsid w:val="00E1618C"/>
    <w:rsid w:val="00E2179B"/>
    <w:rsid w:val="00E2417D"/>
    <w:rsid w:val="00E25841"/>
    <w:rsid w:val="00E25E49"/>
    <w:rsid w:val="00E3176C"/>
    <w:rsid w:val="00E36305"/>
    <w:rsid w:val="00E37136"/>
    <w:rsid w:val="00E42BC3"/>
    <w:rsid w:val="00E44413"/>
    <w:rsid w:val="00E702F1"/>
    <w:rsid w:val="00E96F60"/>
    <w:rsid w:val="00EB2739"/>
    <w:rsid w:val="00EB38B8"/>
    <w:rsid w:val="00EC0EB8"/>
    <w:rsid w:val="00EC28CF"/>
    <w:rsid w:val="00EE70B9"/>
    <w:rsid w:val="00F26820"/>
    <w:rsid w:val="00F3189C"/>
    <w:rsid w:val="00F42724"/>
    <w:rsid w:val="00F5308D"/>
    <w:rsid w:val="00F610F8"/>
    <w:rsid w:val="00F72744"/>
    <w:rsid w:val="00FB73F2"/>
    <w:rsid w:val="00FD1704"/>
    <w:rsid w:val="00FE1E4D"/>
    <w:rsid w:val="6E750579"/>
    <w:rsid w:val="70AA6761"/>
    <w:rsid w:val="7D7B1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uiPriority="3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91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31591"/>
    <w:rPr>
      <w:color w:val="0563C1" w:themeColor="hyperlink"/>
      <w:u w:val="single"/>
    </w:rPr>
  </w:style>
  <w:style w:type="character" w:styleId="a4">
    <w:name w:val="page number"/>
    <w:basedOn w:val="a0"/>
    <w:rsid w:val="00631591"/>
  </w:style>
  <w:style w:type="paragraph" w:styleId="a5">
    <w:name w:val="Balloon Text"/>
    <w:basedOn w:val="a"/>
    <w:link w:val="a6"/>
    <w:uiPriority w:val="99"/>
    <w:semiHidden/>
    <w:unhideWhenUsed/>
    <w:qFormat/>
    <w:rsid w:val="00631591"/>
    <w:rPr>
      <w:rFonts w:ascii="Tahoma" w:hAnsi="Tahoma" w:cs="Tahoma"/>
      <w:sz w:val="16"/>
      <w:szCs w:val="16"/>
    </w:rPr>
  </w:style>
  <w:style w:type="paragraph" w:styleId="a7">
    <w:name w:val="header"/>
    <w:basedOn w:val="a"/>
    <w:uiPriority w:val="99"/>
    <w:semiHidden/>
    <w:unhideWhenUsed/>
    <w:rsid w:val="00631591"/>
    <w:pPr>
      <w:tabs>
        <w:tab w:val="center" w:pos="4153"/>
        <w:tab w:val="right" w:pos="8306"/>
      </w:tabs>
    </w:pPr>
  </w:style>
  <w:style w:type="paragraph" w:styleId="a8">
    <w:name w:val="footer"/>
    <w:basedOn w:val="a"/>
    <w:uiPriority w:val="99"/>
    <w:semiHidden/>
    <w:unhideWhenUsed/>
    <w:rsid w:val="00631591"/>
    <w:pPr>
      <w:tabs>
        <w:tab w:val="center" w:pos="4153"/>
        <w:tab w:val="right" w:pos="8306"/>
      </w:tabs>
    </w:pPr>
  </w:style>
  <w:style w:type="paragraph" w:styleId="a9">
    <w:name w:val="Normal (Web)"/>
    <w:basedOn w:val="a"/>
    <w:link w:val="aa"/>
    <w:qFormat/>
    <w:rsid w:val="00631591"/>
  </w:style>
  <w:style w:type="character" w:customStyle="1" w:styleId="s2">
    <w:name w:val="s2"/>
    <w:basedOn w:val="a0"/>
    <w:qFormat/>
    <w:rsid w:val="00631591"/>
  </w:style>
  <w:style w:type="paragraph" w:customStyle="1" w:styleId="Default">
    <w:name w:val="Default"/>
    <w:qFormat/>
    <w:rsid w:val="0063159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a">
    <w:name w:val="Обычный (веб) Знак"/>
    <w:link w:val="a9"/>
    <w:qFormat/>
    <w:locked/>
    <w:rsid w:val="006315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qFormat/>
    <w:rsid w:val="00631591"/>
    <w:rPr>
      <w:rFonts w:cs="Times New Roman"/>
      <w:color w:val="106BBE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63159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31591"/>
    <w:pPr>
      <w:ind w:left="720"/>
      <w:contextualSpacing/>
    </w:pPr>
  </w:style>
  <w:style w:type="character" w:customStyle="1" w:styleId="fontstyle01">
    <w:name w:val="fontstyle01"/>
    <w:basedOn w:val="a0"/>
    <w:qFormat/>
    <w:rsid w:val="00631591"/>
    <w:rPr>
      <w:rFonts w:ascii="TimesNewRomanPS-BoldMT" w:hAnsi="TimesNewRomanPS-BoldMT" w:hint="default"/>
      <w:b/>
      <w:bCs/>
      <w:color w:val="000000"/>
      <w:sz w:val="32"/>
      <w:szCs w:val="32"/>
    </w:rPr>
  </w:style>
  <w:style w:type="paragraph" w:customStyle="1" w:styleId="2">
    <w:name w:val="Основной текст (2)"/>
    <w:basedOn w:val="a"/>
    <w:link w:val="20"/>
    <w:uiPriority w:val="99"/>
    <w:rsid w:val="00631591"/>
    <w:pPr>
      <w:shd w:val="clear" w:color="auto" w:fill="FFFFFF"/>
      <w:spacing w:before="420" w:after="900" w:line="322" w:lineRule="exact"/>
      <w:jc w:val="both"/>
    </w:pPr>
    <w:rPr>
      <w:rFonts w:eastAsia="Arial Unicode MS"/>
      <w:sz w:val="27"/>
      <w:szCs w:val="27"/>
    </w:rPr>
  </w:style>
  <w:style w:type="character" w:customStyle="1" w:styleId="20">
    <w:name w:val="Основной текст (2)_"/>
    <w:basedOn w:val="a0"/>
    <w:link w:val="2"/>
    <w:uiPriority w:val="99"/>
    <w:locked/>
    <w:rsid w:val="00631591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ad">
    <w:name w:val="Основной текст_"/>
    <w:basedOn w:val="a0"/>
    <w:link w:val="21"/>
    <w:uiPriority w:val="99"/>
    <w:qFormat/>
    <w:locked/>
    <w:rsid w:val="006315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d"/>
    <w:uiPriority w:val="99"/>
    <w:qFormat/>
    <w:rsid w:val="00631591"/>
    <w:pPr>
      <w:widowControl w:val="0"/>
      <w:shd w:val="clear" w:color="auto" w:fill="FFFFFF"/>
      <w:spacing w:line="322" w:lineRule="exact"/>
      <w:ind w:hanging="3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1"/>
    <w:basedOn w:val="ad"/>
    <w:uiPriority w:val="99"/>
    <w:qFormat/>
    <w:rsid w:val="00631591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covka.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1587</Words>
  <Characters>9047</Characters>
  <Application>Microsoft Office Word</Application>
  <DocSecurity>0</DocSecurity>
  <Lines>75</Lines>
  <Paragraphs>21</Paragraphs>
  <ScaleCrop>false</ScaleCrop>
  <Company>DG Win&amp;Soft</Company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5</cp:revision>
  <cp:lastPrinted>2023-03-22T14:13:00Z</cp:lastPrinted>
  <dcterms:created xsi:type="dcterms:W3CDTF">2022-03-05T03:49:00Z</dcterms:created>
  <dcterms:modified xsi:type="dcterms:W3CDTF">2023-03-29T02:58:00Z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5FDA39AB06164BEA9129E75A4346F6E7</vt:lpwstr>
  </property>
</Properties>
</file>