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</w:pPr>
      <w:r>
        <w:rPr>
          <w:b w:val="1"/>
          <w:sz w:val="28"/>
        </w:rPr>
        <w:t>ЧЕРЕМШАНСКИЙ</w:t>
      </w:r>
      <w:r>
        <w:rPr>
          <w:b w:val="1"/>
          <w:sz w:val="28"/>
        </w:rPr>
        <w:t xml:space="preserve"> СЕЛЬСКИЙ СОВЕТ ДЕПУТАТОВ</w:t>
      </w:r>
    </w:p>
    <w:p w14:paraId="02000000">
      <w:pPr>
        <w:ind/>
        <w:jc w:val="center"/>
      </w:pPr>
      <w:r>
        <w:rPr>
          <w:b w:val="1"/>
          <w:sz w:val="28"/>
        </w:rPr>
        <w:t>ЕЛЬЦОВСКОГО РАЙОНА АЛТАЙСКОГО КРАЯ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</w:pPr>
      <w:r>
        <w:rPr>
          <w:b w:val="1"/>
          <w:sz w:val="28"/>
        </w:rPr>
        <w:t>РЕШЕНИЕ</w:t>
      </w:r>
    </w:p>
    <w:p w14:paraId="06000000">
      <w:pPr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02.11.2024                                                                                                             № 13</w:t>
      </w:r>
      <w:bookmarkStart w:id="1" w:name="_GoBack"/>
      <w:bookmarkEnd w:id="1"/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Черемшанка</w:t>
      </w:r>
    </w:p>
    <w:p w14:paraId="08000000">
      <w:pPr>
        <w:ind/>
        <w:jc w:val="center"/>
        <w:rPr>
          <w:b w:val="1"/>
          <w:sz w:val="24"/>
        </w:rPr>
      </w:pPr>
    </w:p>
    <w:p w14:paraId="09000000">
      <w:pPr>
        <w:spacing w:before="1" w:line="252" w:lineRule="auto"/>
        <w:ind w:firstLine="7" w:left="110" w:right="4854"/>
        <w:rPr>
          <w:sz w:val="27"/>
        </w:rPr>
      </w:pPr>
      <w:r>
        <w:rPr>
          <w:sz w:val="27"/>
        </w:rPr>
        <w:t xml:space="preserve">О введении налога на имущество физических лиц на территории муниципального образования </w:t>
      </w:r>
      <w:r>
        <w:rPr>
          <w:sz w:val="27"/>
        </w:rPr>
        <w:t>Черемшанский сельсовет</w:t>
      </w:r>
      <w:r>
        <w:rPr>
          <w:sz w:val="27"/>
        </w:rPr>
        <w:t xml:space="preserve"> Ельцовского района Алтайского края</w:t>
      </w:r>
    </w:p>
    <w:p w14:paraId="0A000000">
      <w:pPr>
        <w:pStyle w:val="Style_1"/>
        <w:spacing w:before="33"/>
        <w:ind/>
        <w:jc w:val="left"/>
        <w:rPr>
          <w:sz w:val="27"/>
        </w:rPr>
      </w:pPr>
    </w:p>
    <w:p w14:paraId="0B000000">
      <w:pPr>
        <w:spacing w:line="252" w:lineRule="auto"/>
        <w:ind w:right="-21"/>
        <w:jc w:val="both"/>
        <w:rPr>
          <w:sz w:val="27"/>
        </w:rPr>
      </w:pPr>
      <w:r>
        <w:rPr>
          <w:sz w:val="27"/>
        </w:rPr>
        <w:t xml:space="preserve">        В соответствии с главой 32 Налогового кодекса Российской Федерации (далее—Налоговогокодекса),Федеральнымзакономот6октября2003</w:t>
      </w:r>
      <w:r>
        <w:rPr>
          <w:spacing w:val="-4"/>
          <w:sz w:val="27"/>
        </w:rPr>
        <w:t xml:space="preserve">года </w:t>
      </w:r>
      <w:r>
        <w:rPr>
          <w:sz w:val="27"/>
        </w:rPr>
        <w:t>№ 131-ФЗ «Об общих принципах организации местного самоуправления в Российской Федерации», Федеральным законом от 12.07.2024 №176 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статьей 22 Устава муниципального образования</w:t>
      </w:r>
      <w:r>
        <w:rPr>
          <w:sz w:val="27"/>
        </w:rPr>
        <w:t xml:space="preserve"> </w:t>
      </w:r>
      <w:r>
        <w:rPr>
          <w:sz w:val="27"/>
        </w:rPr>
        <w:t>Черемшанский сельсовет</w:t>
      </w:r>
      <w:r>
        <w:rPr>
          <w:sz w:val="27"/>
        </w:rPr>
        <w:t xml:space="preserve"> Ельцовского района Алтайского края, </w:t>
      </w:r>
      <w:r>
        <w:rPr>
          <w:sz w:val="27"/>
        </w:rPr>
        <w:t>Черемшанский сельский Совет  депутатов Ельцовского района</w:t>
      </w:r>
      <w:r>
        <w:rPr>
          <w:sz w:val="27"/>
        </w:rPr>
        <w:t xml:space="preserve"> </w:t>
      </w:r>
      <w:r>
        <w:rPr>
          <w:sz w:val="27"/>
        </w:rPr>
        <w:t xml:space="preserve">Алтайского края </w:t>
      </w:r>
      <w:r>
        <w:rPr>
          <w:spacing w:val="-2"/>
          <w:sz w:val="27"/>
        </w:rPr>
        <w:t>РЕШИЛ:</w:t>
      </w:r>
    </w:p>
    <w:p w14:paraId="0C000000">
      <w:pPr>
        <w:pStyle w:val="Style_2"/>
        <w:numPr>
          <w:ilvl w:val="0"/>
          <w:numId w:val="1"/>
        </w:numPr>
        <w:tabs>
          <w:tab w:leader="none" w:pos="1210" w:val="left"/>
        </w:tabs>
        <w:spacing w:line="252" w:lineRule="auto"/>
        <w:ind w:firstLine="0" w:left="0"/>
        <w:jc w:val="both"/>
        <w:rPr>
          <w:sz w:val="27"/>
        </w:rPr>
      </w:pPr>
      <w:r>
        <w:rPr>
          <w:sz w:val="27"/>
        </w:rPr>
        <w:t>Установить и ввести в действие с 1 января 2025 года на территории муниципального образования</w:t>
      </w:r>
      <w:r>
        <w:rPr>
          <w:sz w:val="27"/>
        </w:rPr>
        <w:t xml:space="preserve"> </w:t>
      </w:r>
      <w:r>
        <w:rPr>
          <w:sz w:val="27"/>
        </w:rPr>
        <w:t>Черемшанский сельсовет</w:t>
      </w:r>
      <w:r>
        <w:rPr>
          <w:sz w:val="27"/>
        </w:rPr>
        <w:t xml:space="preserve"> Ельцовского района </w:t>
      </w:r>
      <w:r>
        <w:rPr>
          <w:sz w:val="28"/>
        </w:rPr>
        <w:t>Алтайского края налог на имущество физических лиц (далее — налог).</w:t>
      </w:r>
    </w:p>
    <w:p w14:paraId="0D000000">
      <w:pPr>
        <w:pStyle w:val="Style_2"/>
        <w:numPr>
          <w:ilvl w:val="0"/>
          <w:numId w:val="1"/>
        </w:numPr>
        <w:tabs>
          <w:tab w:leader="none" w:pos="1173" w:val="left"/>
        </w:tabs>
        <w:spacing w:line="252" w:lineRule="auto"/>
        <w:ind w:firstLine="0" w:left="0" w:right="166"/>
        <w:jc w:val="both"/>
        <w:rPr>
          <w:sz w:val="27"/>
        </w:rPr>
      </w:pPr>
      <w:r>
        <w:rPr>
          <w:sz w:val="27"/>
        </w:rPr>
        <w:t>Установить, что налоговая база определяется в отношении:</w:t>
      </w:r>
    </w:p>
    <w:p w14:paraId="0E000000">
      <w:pPr>
        <w:pStyle w:val="Style_2"/>
        <w:tabs>
          <w:tab w:leader="none" w:pos="1173" w:val="left"/>
          <w:tab w:leader="none" w:pos="9760" w:val="left"/>
        </w:tabs>
        <w:spacing w:line="252" w:lineRule="auto"/>
        <w:ind w:firstLine="0" w:left="0" w:right="-21"/>
        <w:rPr>
          <w:sz w:val="27"/>
        </w:rPr>
      </w:pPr>
      <w:r>
        <w:rPr>
          <w:sz w:val="27"/>
        </w:rPr>
        <w:t xml:space="preserve">-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периодом; </w:t>
      </w:r>
    </w:p>
    <w:p w14:paraId="0F000000">
      <w:pPr>
        <w:pStyle w:val="Style_2"/>
        <w:tabs>
          <w:tab w:leader="none" w:pos="1173" w:val="left"/>
        </w:tabs>
        <w:spacing w:line="252" w:lineRule="auto"/>
        <w:ind w:firstLine="0" w:left="0" w:right="-21"/>
        <w:rPr>
          <w:sz w:val="27"/>
        </w:rPr>
      </w:pPr>
      <w:r>
        <w:rPr>
          <w:sz w:val="27"/>
        </w:rPr>
        <w:t>-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14:paraId="10000000">
      <w:pPr>
        <w:pStyle w:val="Style_2"/>
        <w:numPr>
          <w:ilvl w:val="0"/>
          <w:numId w:val="1"/>
        </w:numPr>
        <w:tabs>
          <w:tab w:leader="none" w:pos="1096" w:val="left"/>
        </w:tabs>
        <w:spacing w:before="8"/>
        <w:ind w:firstLine="0" w:left="0"/>
        <w:jc w:val="both"/>
        <w:rPr>
          <w:sz w:val="27"/>
        </w:rPr>
      </w:pPr>
      <w:r>
        <w:rPr>
          <w:sz w:val="27"/>
        </w:rPr>
        <w:t>Определить</w:t>
      </w:r>
      <w:r>
        <w:rPr>
          <w:sz w:val="27"/>
        </w:rPr>
        <w:t xml:space="preserve"> </w:t>
      </w:r>
      <w:r>
        <w:rPr>
          <w:sz w:val="27"/>
        </w:rPr>
        <w:t>налоговые</w:t>
      </w:r>
      <w:r>
        <w:rPr>
          <w:sz w:val="27"/>
        </w:rPr>
        <w:t xml:space="preserve"> </w:t>
      </w:r>
      <w:r>
        <w:rPr>
          <w:sz w:val="27"/>
        </w:rPr>
        <w:t>ставки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следующих</w:t>
      </w:r>
      <w:r>
        <w:rPr>
          <w:sz w:val="27"/>
        </w:rPr>
        <w:t xml:space="preserve"> </w:t>
      </w:r>
      <w:r>
        <w:rPr>
          <w:spacing w:val="-2"/>
          <w:sz w:val="27"/>
        </w:rPr>
        <w:t>размерах:</w:t>
      </w:r>
    </w:p>
    <w:p w14:paraId="11000000">
      <w:pPr>
        <w:pStyle w:val="Style_2"/>
        <w:numPr>
          <w:ilvl w:val="1"/>
          <w:numId w:val="1"/>
        </w:numPr>
        <w:tabs>
          <w:tab w:leader="none" w:pos="1117" w:val="left"/>
        </w:tabs>
        <w:spacing w:before="14"/>
        <w:ind w:firstLine="0" w:left="0"/>
        <w:jc w:val="both"/>
        <w:rPr>
          <w:sz w:val="27"/>
        </w:rPr>
      </w:pPr>
      <w:r>
        <w:rPr>
          <w:sz w:val="27"/>
        </w:rPr>
        <w:t>0,3</w:t>
      </w:r>
      <w:r>
        <w:rPr>
          <w:sz w:val="27"/>
        </w:rPr>
        <w:t xml:space="preserve"> </w:t>
      </w:r>
      <w:r>
        <w:rPr>
          <w:sz w:val="27"/>
        </w:rPr>
        <w:t>процента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pacing w:val="-2"/>
          <w:sz w:val="27"/>
        </w:rPr>
        <w:t>отношении:</w:t>
      </w:r>
    </w:p>
    <w:p w14:paraId="12000000">
      <w:pPr>
        <w:numPr>
          <w:ilvl w:val="0"/>
          <w:numId w:val="2"/>
        </w:numPr>
        <w:spacing w:before="13"/>
        <w:ind w:right="184"/>
        <w:jc w:val="both"/>
        <w:rPr>
          <w:sz w:val="27"/>
        </w:rPr>
      </w:pPr>
      <w:r>
        <w:rPr>
          <w:sz w:val="27"/>
        </w:rPr>
        <w:t xml:space="preserve">жилых домов, частей жилых домов, квартир, частей квартир, комнат; </w:t>
      </w:r>
    </w:p>
    <w:p w14:paraId="13000000">
      <w:pPr>
        <w:numPr>
          <w:ilvl w:val="0"/>
          <w:numId w:val="3"/>
        </w:numPr>
        <w:spacing w:before="13"/>
        <w:ind w:right="184"/>
        <w:jc w:val="both"/>
        <w:rPr>
          <w:sz w:val="27"/>
        </w:rPr>
      </w:pPr>
      <w:r>
        <w:rPr>
          <w:sz w:val="27"/>
        </w:rPr>
        <w:t>объектов</w:t>
      </w:r>
      <w:r>
        <w:rPr>
          <w:sz w:val="27"/>
        </w:rPr>
        <w:t xml:space="preserve"> </w:t>
      </w:r>
      <w:r>
        <w:rPr>
          <w:sz w:val="27"/>
        </w:rPr>
        <w:t>незавершенного</w:t>
      </w:r>
      <w:r>
        <w:rPr>
          <w:sz w:val="27"/>
        </w:rPr>
        <w:t xml:space="preserve"> </w:t>
      </w:r>
      <w:r>
        <w:rPr>
          <w:sz w:val="27"/>
        </w:rPr>
        <w:t>строительства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случае,</w:t>
      </w:r>
      <w:r>
        <w:rPr>
          <w:sz w:val="27"/>
        </w:rPr>
        <w:t xml:space="preserve"> </w:t>
      </w:r>
      <w:r>
        <w:rPr>
          <w:sz w:val="27"/>
        </w:rPr>
        <w:t>если</w:t>
      </w:r>
      <w:r>
        <w:rPr>
          <w:sz w:val="27"/>
        </w:rPr>
        <w:t xml:space="preserve"> </w:t>
      </w:r>
      <w:r>
        <w:rPr>
          <w:spacing w:val="-2"/>
          <w:sz w:val="27"/>
        </w:rPr>
        <w:t xml:space="preserve">проектируемым </w:t>
      </w:r>
      <w:r>
        <w:rPr>
          <w:sz w:val="27"/>
        </w:rPr>
        <w:t>назначением</w:t>
      </w:r>
      <w:r>
        <w:rPr>
          <w:sz w:val="27"/>
        </w:rPr>
        <w:t xml:space="preserve"> </w:t>
      </w:r>
      <w:r>
        <w:rPr>
          <w:sz w:val="27"/>
        </w:rPr>
        <w:t>таких</w:t>
      </w:r>
      <w:r>
        <w:rPr>
          <w:sz w:val="27"/>
        </w:rPr>
        <w:t xml:space="preserve"> </w:t>
      </w:r>
      <w:r>
        <w:rPr>
          <w:sz w:val="27"/>
        </w:rPr>
        <w:t>объектов</w:t>
      </w:r>
      <w:r>
        <w:rPr>
          <w:sz w:val="27"/>
        </w:rPr>
        <w:t xml:space="preserve"> </w:t>
      </w:r>
      <w:r>
        <w:rPr>
          <w:sz w:val="27"/>
        </w:rPr>
        <w:t>является</w:t>
      </w:r>
      <w:r>
        <w:rPr>
          <w:sz w:val="27"/>
        </w:rPr>
        <w:t xml:space="preserve"> </w:t>
      </w:r>
      <w:r>
        <w:rPr>
          <w:sz w:val="27"/>
        </w:rPr>
        <w:t>жилой</w:t>
      </w:r>
      <w:r>
        <w:rPr>
          <w:sz w:val="27"/>
        </w:rPr>
        <w:t xml:space="preserve"> </w:t>
      </w:r>
      <w:r>
        <w:rPr>
          <w:spacing w:val="-4"/>
          <w:sz w:val="27"/>
        </w:rPr>
        <w:t>дом;</w:t>
      </w:r>
    </w:p>
    <w:p w14:paraId="14000000">
      <w:pPr>
        <w:numPr>
          <w:ilvl w:val="0"/>
          <w:numId w:val="4"/>
        </w:numPr>
        <w:spacing w:before="13" w:line="264" w:lineRule="auto"/>
        <w:ind w:right="154"/>
        <w:jc w:val="both"/>
        <w:rPr>
          <w:sz w:val="27"/>
        </w:rPr>
      </w:pPr>
      <w:r>
        <w:rPr>
          <w:sz w:val="27"/>
        </w:rPr>
        <w:t>единых недвижимых комплексов, в состав которых входит хотя бы один жилой дом;</w:t>
      </w:r>
    </w:p>
    <w:p w14:paraId="15000000">
      <w:pPr>
        <w:numPr>
          <w:ilvl w:val="0"/>
          <w:numId w:val="5"/>
        </w:numPr>
        <w:spacing w:line="274" w:lineRule="exact"/>
        <w:ind/>
        <w:jc w:val="both"/>
        <w:rPr>
          <w:sz w:val="27"/>
        </w:rPr>
      </w:pPr>
      <w:r>
        <w:rPr>
          <w:sz w:val="27"/>
        </w:rPr>
        <w:t>гаражей</w:t>
      </w:r>
      <w:r>
        <w:rPr>
          <w:sz w:val="27"/>
        </w:rPr>
        <w:t xml:space="preserve"> 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машино-мест,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том</w:t>
      </w:r>
      <w:r>
        <w:rPr>
          <w:sz w:val="27"/>
        </w:rPr>
        <w:t xml:space="preserve"> </w:t>
      </w:r>
      <w:r>
        <w:rPr>
          <w:sz w:val="27"/>
        </w:rPr>
        <w:t>числе</w:t>
      </w:r>
      <w:r>
        <w:rPr>
          <w:sz w:val="27"/>
        </w:rPr>
        <w:t xml:space="preserve"> </w:t>
      </w:r>
      <w:r>
        <w:rPr>
          <w:sz w:val="27"/>
        </w:rPr>
        <w:t>расположенных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pacing w:val="-2"/>
          <w:sz w:val="27"/>
        </w:rPr>
        <w:t xml:space="preserve">объектах </w:t>
      </w:r>
      <w:r>
        <w:rPr>
          <w:sz w:val="27"/>
        </w:rPr>
        <w:t>налогообложения,</w:t>
      </w:r>
      <w:r>
        <w:rPr>
          <w:sz w:val="27"/>
        </w:rPr>
        <w:t xml:space="preserve"> </w:t>
      </w:r>
      <w:r>
        <w:rPr>
          <w:sz w:val="27"/>
        </w:rPr>
        <w:t>указанных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подпункте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настоящего</w:t>
      </w:r>
      <w:r>
        <w:rPr>
          <w:sz w:val="27"/>
        </w:rPr>
        <w:t xml:space="preserve"> </w:t>
      </w:r>
      <w:r>
        <w:rPr>
          <w:sz w:val="27"/>
        </w:rPr>
        <w:t xml:space="preserve">пункта; </w:t>
      </w:r>
    </w:p>
    <w:p w14:paraId="16000000">
      <w:pPr>
        <w:numPr>
          <w:ilvl w:val="0"/>
          <w:numId w:val="6"/>
        </w:numPr>
        <w:spacing w:before="21" w:line="252" w:lineRule="auto"/>
        <w:ind w:right="146"/>
        <w:jc w:val="both"/>
        <w:rPr>
          <w:sz w:val="27"/>
        </w:rPr>
      </w:pPr>
      <w:r>
        <w:rPr>
          <w:sz w:val="27"/>
        </w:rPr>
        <w:t>хозяйственных</w:t>
      </w:r>
      <w:r>
        <w:rPr>
          <w:sz w:val="27"/>
        </w:rPr>
        <w:t xml:space="preserve"> </w:t>
      </w:r>
      <w:r>
        <w:rPr>
          <w:sz w:val="27"/>
        </w:rPr>
        <w:t>строений</w:t>
      </w:r>
      <w:r>
        <w:rPr>
          <w:sz w:val="27"/>
        </w:rPr>
        <w:t xml:space="preserve"> </w:t>
      </w:r>
      <w:r>
        <w:rPr>
          <w:sz w:val="27"/>
        </w:rPr>
        <w:t>или</w:t>
      </w:r>
      <w:r>
        <w:rPr>
          <w:sz w:val="27"/>
        </w:rPr>
        <w:t xml:space="preserve"> </w:t>
      </w:r>
      <w:r>
        <w:rPr>
          <w:sz w:val="27"/>
        </w:rPr>
        <w:t>сооружений,</w:t>
      </w:r>
      <w:r>
        <w:rPr>
          <w:sz w:val="27"/>
        </w:rPr>
        <w:t xml:space="preserve"> </w:t>
      </w:r>
      <w:r>
        <w:rPr>
          <w:sz w:val="27"/>
        </w:rPr>
        <w:t>площадь</w:t>
      </w:r>
      <w:r>
        <w:rPr>
          <w:sz w:val="27"/>
        </w:rPr>
        <w:t xml:space="preserve"> </w:t>
      </w:r>
      <w:r>
        <w:rPr>
          <w:sz w:val="27"/>
        </w:rPr>
        <w:t>каждого</w:t>
      </w:r>
      <w:r>
        <w:rPr>
          <w:sz w:val="27"/>
        </w:rPr>
        <w:t xml:space="preserve"> </w:t>
      </w:r>
      <w:r>
        <w:rPr>
          <w:sz w:val="27"/>
        </w:rPr>
        <w:t>из</w:t>
      </w:r>
      <w:r>
        <w:rPr>
          <w:sz w:val="27"/>
        </w:rPr>
        <w:t xml:space="preserve"> </w:t>
      </w:r>
      <w:r>
        <w:rPr>
          <w:spacing w:val="-2"/>
          <w:sz w:val="27"/>
        </w:rPr>
        <w:t xml:space="preserve">которых </w:t>
      </w:r>
      <w:r>
        <w:rPr>
          <w:sz w:val="27"/>
        </w:rPr>
        <w:t>не</w:t>
      </w:r>
      <w:r>
        <w:rPr>
          <w:sz w:val="27"/>
        </w:rPr>
        <w:t xml:space="preserve"> </w:t>
      </w:r>
      <w:r>
        <w:rPr>
          <w:sz w:val="27"/>
        </w:rPr>
        <w:t>превышает</w:t>
      </w:r>
      <w:r>
        <w:rPr>
          <w:sz w:val="27"/>
        </w:rPr>
        <w:t xml:space="preserve"> </w:t>
      </w:r>
      <w:r>
        <w:rPr>
          <w:sz w:val="27"/>
        </w:rPr>
        <w:t>50</w:t>
      </w:r>
      <w:r>
        <w:rPr>
          <w:sz w:val="27"/>
        </w:rPr>
        <w:t xml:space="preserve"> </w:t>
      </w:r>
      <w:r>
        <w:rPr>
          <w:sz w:val="27"/>
        </w:rPr>
        <w:t>квадратных</w:t>
      </w:r>
      <w:r>
        <w:rPr>
          <w:sz w:val="27"/>
        </w:rPr>
        <w:t xml:space="preserve"> </w:t>
      </w:r>
      <w:r>
        <w:rPr>
          <w:sz w:val="27"/>
        </w:rPr>
        <w:t>метров</w:t>
      </w:r>
      <w:r>
        <w:rPr>
          <w:sz w:val="27"/>
        </w:rPr>
        <w:t xml:space="preserve"> 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которые</w:t>
      </w:r>
      <w:r>
        <w:rPr>
          <w:sz w:val="27"/>
        </w:rPr>
        <w:t xml:space="preserve"> </w:t>
      </w:r>
      <w:r>
        <w:rPr>
          <w:sz w:val="27"/>
        </w:rPr>
        <w:t>расположены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pacing w:val="-2"/>
          <w:sz w:val="27"/>
        </w:rPr>
        <w:t xml:space="preserve">земельных </w:t>
      </w:r>
      <w:r>
        <w:rPr>
          <w:sz w:val="27"/>
        </w:rPr>
        <w:t xml:space="preserve">участках для ведения личного подсобного хозяйства, огородничества, садоводства или индивидуального жилищного </w:t>
      </w:r>
      <w:r>
        <w:rPr>
          <w:spacing w:val="-2"/>
          <w:sz w:val="27"/>
        </w:rPr>
        <w:t>строительства;</w:t>
      </w:r>
    </w:p>
    <w:p w14:paraId="17000000">
      <w:pPr>
        <w:pStyle w:val="Style_2"/>
        <w:numPr>
          <w:ilvl w:val="1"/>
          <w:numId w:val="1"/>
        </w:numPr>
        <w:tabs>
          <w:tab w:leader="none" w:pos="1164" w:val="left"/>
        </w:tabs>
        <w:spacing w:before="20"/>
        <w:ind w:firstLine="0" w:left="0" w:right="118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процента в</w:t>
      </w:r>
      <w:r>
        <w:rPr>
          <w:sz w:val="28"/>
        </w:rPr>
        <w:t xml:space="preserve"> </w:t>
      </w:r>
      <w:r>
        <w:rPr>
          <w:sz w:val="28"/>
        </w:rPr>
        <w:t>отношении объектов</w:t>
      </w:r>
      <w:r>
        <w:rPr>
          <w:sz w:val="28"/>
        </w:rPr>
        <w:t xml:space="preserve"> </w:t>
      </w:r>
      <w:r>
        <w:rPr>
          <w:sz w:val="28"/>
        </w:rPr>
        <w:t>налогообложения,</w:t>
      </w:r>
      <w:r>
        <w:rPr>
          <w:sz w:val="28"/>
        </w:rPr>
        <w:t xml:space="preserve"> </w:t>
      </w:r>
      <w:r>
        <w:rPr>
          <w:sz w:val="28"/>
        </w:rPr>
        <w:t>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кодекса;</w:t>
      </w:r>
    </w:p>
    <w:p w14:paraId="18000000">
      <w:pPr>
        <w:pStyle w:val="Style_2"/>
        <w:tabs>
          <w:tab w:leader="none" w:pos="1164" w:val="left"/>
        </w:tabs>
        <w:spacing w:before="20"/>
        <w:ind w:firstLine="0" w:left="0" w:right="118"/>
        <w:rPr>
          <w:sz w:val="28"/>
        </w:rPr>
      </w:pPr>
      <w:r>
        <w:rPr>
          <w:sz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14:paraId="19000000">
      <w:pPr>
        <w:tabs>
          <w:tab w:leader="none" w:pos="1139" w:val="left"/>
        </w:tabs>
        <w:spacing w:before="5"/>
        <w:ind w:hanging="146" w:left="146"/>
        <w:rPr>
          <w:sz w:val="28"/>
        </w:rPr>
      </w:pPr>
      <w:r>
        <w:rPr>
          <w:sz w:val="28"/>
        </w:rPr>
        <w:t>4) 0,5процента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</w:t>
      </w:r>
      <w:r>
        <w:rPr>
          <w:sz w:val="28"/>
        </w:rPr>
        <w:t>прочих объектов</w:t>
      </w:r>
      <w:r>
        <w:rPr>
          <w:sz w:val="28"/>
        </w:rPr>
        <w:t xml:space="preserve"> </w:t>
      </w:r>
      <w:r>
        <w:rPr>
          <w:spacing w:val="-2"/>
          <w:sz w:val="28"/>
        </w:rPr>
        <w:t>налогообложения.</w:t>
      </w:r>
    </w:p>
    <w:p w14:paraId="1A000000">
      <w:pPr>
        <w:pStyle w:val="Style_2"/>
        <w:numPr>
          <w:ilvl w:val="0"/>
          <w:numId w:val="1"/>
        </w:numPr>
        <w:tabs>
          <w:tab w:leader="none" w:pos="1149" w:val="left"/>
        </w:tabs>
        <w:spacing w:before="2"/>
        <w:ind w:firstLine="0" w:left="0" w:right="146"/>
        <w:jc w:val="both"/>
        <w:rPr>
          <w:color w:val="000000"/>
          <w:sz w:val="28"/>
        </w:rPr>
      </w:pPr>
      <w:r>
        <w:rPr>
          <w:color w:val="000000"/>
          <w:sz w:val="28"/>
        </w:rPr>
        <w:t>Признать утратившими силу решения Черемшанского сельского Совета  депутатов Ельцовского  района Алтайского края:</w:t>
      </w:r>
    </w:p>
    <w:p w14:paraId="1B000000">
      <w:pPr>
        <w:pStyle w:val="Style_2"/>
        <w:numPr>
          <w:ilvl w:val="0"/>
          <w:numId w:val="7"/>
        </w:numPr>
        <w:tabs>
          <w:tab w:leader="none" w:pos="1088" w:val="left"/>
        </w:tabs>
        <w:spacing w:before="5"/>
        <w:ind w:firstLine="762" w:left="0" w:right="137"/>
        <w:rPr>
          <w:color w:val="000000"/>
          <w:sz w:val="28"/>
        </w:rPr>
      </w:pPr>
      <w:r>
        <w:rPr>
          <w:color w:val="000000"/>
          <w:sz w:val="28"/>
        </w:rPr>
        <w:t>от 08.10.2019 № 15 «О  налоге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имущество физических лиц на территории муниципального образования Черемшанский сельсовет Ельцовского района Алтайского края»;</w:t>
      </w:r>
    </w:p>
    <w:p w14:paraId="1C000000">
      <w:pPr>
        <w:pStyle w:val="Style_2"/>
        <w:numPr>
          <w:ilvl w:val="0"/>
          <w:numId w:val="7"/>
        </w:numPr>
        <w:tabs>
          <w:tab w:leader="none" w:pos="1088" w:val="left"/>
        </w:tabs>
        <w:spacing w:before="5"/>
        <w:ind w:firstLine="762" w:left="0" w:right="137"/>
        <w:rPr>
          <w:color w:val="000000"/>
          <w:sz w:val="28"/>
        </w:rPr>
      </w:pPr>
      <w:r>
        <w:rPr>
          <w:color w:val="000000"/>
          <w:sz w:val="28"/>
        </w:rPr>
        <w:t>от 26.04.2024 № 6 «О внесении изменений  в решение Черемшанского сельского Совета депутатов Ельцовского района Алтайского края от 08.10.2019 № 6 «О  налоге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имущество физических лиц на территории муниципального образования Черемшанский сельсовет Ельцовского района Алтайского края».</w:t>
      </w:r>
    </w:p>
    <w:p w14:paraId="1D000000">
      <w:pPr>
        <w:pStyle w:val="Style_2"/>
        <w:tabs>
          <w:tab w:leader="none" w:pos="1088" w:val="left"/>
        </w:tabs>
        <w:spacing w:before="5"/>
        <w:ind w:firstLine="0" w:left="0" w:right="137"/>
        <w:rPr>
          <w:sz w:val="28"/>
        </w:rPr>
      </w:pPr>
      <w:r>
        <w:rPr>
          <w:sz w:val="28"/>
        </w:rPr>
        <w:t>5. Настоящее решение вступает в</w:t>
      </w:r>
      <w:r>
        <w:rPr>
          <w:sz w:val="28"/>
        </w:rPr>
        <w:t xml:space="preserve"> </w:t>
      </w:r>
      <w:r>
        <w:rPr>
          <w:sz w:val="28"/>
        </w:rPr>
        <w:t>силу с 1 января 2025 года, но</w:t>
      </w:r>
      <w:r>
        <w:rPr>
          <w:sz w:val="28"/>
        </w:rPr>
        <w:t xml:space="preserve"> </w:t>
      </w:r>
      <w:r>
        <w:rPr>
          <w:sz w:val="28"/>
        </w:rPr>
        <w:t xml:space="preserve">не ранее </w:t>
      </w:r>
      <w:r>
        <w:rPr>
          <w:sz w:val="27"/>
        </w:rPr>
        <w:t>чем</w:t>
      </w:r>
      <w:r>
        <w:rPr>
          <w:sz w:val="27"/>
        </w:rPr>
        <w:t xml:space="preserve">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истечении</w:t>
      </w:r>
      <w:r>
        <w:rPr>
          <w:sz w:val="27"/>
        </w:rPr>
        <w:t xml:space="preserve"> </w:t>
      </w:r>
      <w:r>
        <w:rPr>
          <w:sz w:val="27"/>
        </w:rPr>
        <w:t>одного</w:t>
      </w:r>
      <w:r>
        <w:rPr>
          <w:sz w:val="27"/>
        </w:rPr>
        <w:t xml:space="preserve"> </w:t>
      </w:r>
      <w:r>
        <w:rPr>
          <w:sz w:val="27"/>
        </w:rPr>
        <w:t>месяца</w:t>
      </w:r>
      <w:r>
        <w:rPr>
          <w:sz w:val="27"/>
        </w:rPr>
        <w:t xml:space="preserve"> </w:t>
      </w:r>
      <w:r>
        <w:rPr>
          <w:sz w:val="27"/>
        </w:rPr>
        <w:t>со</w:t>
      </w:r>
      <w:r>
        <w:rPr>
          <w:sz w:val="27"/>
        </w:rPr>
        <w:t xml:space="preserve"> </w:t>
      </w:r>
      <w:r>
        <w:rPr>
          <w:sz w:val="27"/>
        </w:rPr>
        <w:t>дня</w:t>
      </w:r>
      <w:r>
        <w:rPr>
          <w:sz w:val="27"/>
        </w:rPr>
        <w:t xml:space="preserve"> </w:t>
      </w:r>
      <w:r>
        <w:rPr>
          <w:sz w:val="27"/>
        </w:rPr>
        <w:t>его</w:t>
      </w:r>
      <w:r>
        <w:rPr>
          <w:sz w:val="27"/>
        </w:rPr>
        <w:t xml:space="preserve"> </w:t>
      </w:r>
      <w:r>
        <w:rPr>
          <w:sz w:val="27"/>
        </w:rPr>
        <w:t>официального</w:t>
      </w:r>
      <w:r>
        <w:rPr>
          <w:sz w:val="27"/>
        </w:rPr>
        <w:t xml:space="preserve"> </w:t>
      </w:r>
      <w:r>
        <w:rPr>
          <w:sz w:val="27"/>
        </w:rPr>
        <w:t>опубликования</w:t>
      </w:r>
      <w:r>
        <w:rPr>
          <w:sz w:val="27"/>
        </w:rPr>
        <w:t xml:space="preserve"> </w:t>
      </w:r>
      <w:r>
        <w:rPr>
          <w:sz w:val="27"/>
        </w:rPr>
        <w:t xml:space="preserve">в </w:t>
      </w:r>
      <w:r>
        <w:rPr>
          <w:spacing w:val="-2"/>
          <w:sz w:val="27"/>
        </w:rPr>
        <w:t>районной</w:t>
      </w:r>
      <w:r>
        <w:rPr>
          <w:spacing w:val="-2"/>
          <w:sz w:val="27"/>
        </w:rPr>
        <w:t xml:space="preserve"> </w:t>
      </w:r>
      <w:r>
        <w:rPr>
          <w:spacing w:val="-2"/>
          <w:sz w:val="27"/>
        </w:rPr>
        <w:t>газете«Заря Востока».</w:t>
      </w:r>
    </w:p>
    <w:p w14:paraId="1E000000">
      <w:pPr>
        <w:pStyle w:val="Style_1"/>
        <w:rPr>
          <w:rFonts w:ascii="Calibri" w:hAnsi="Calibri"/>
        </w:rPr>
      </w:pPr>
      <w:r>
        <w:rPr>
          <w:spacing w:val="-2"/>
        </w:rPr>
        <w:t xml:space="preserve">6. </w:t>
      </w:r>
      <w:r>
        <w:rPr>
          <w:rFonts w:ascii="PT Astra Serif" w:hAnsi="PT Astra Serif"/>
        </w:rPr>
        <w:t>Контроль исполнения настоящего решения возложить на постоянную комиссию по сельскому хозяйству, земельно-аграрным вопросам, бюджету  (председатель Чеснокова Г.Н.)</w:t>
      </w:r>
    </w:p>
    <w:p w14:paraId="1F000000">
      <w:pPr>
        <w:spacing w:after="269" w:before="269"/>
        <w:ind/>
        <w:jc w:val="both"/>
        <w:rPr>
          <w:rFonts w:ascii="Calibri" w:hAnsi="Calibri"/>
          <w:sz w:val="27"/>
        </w:rPr>
      </w:pPr>
      <w:r>
        <w:rPr>
          <w:rFonts w:ascii="PT Astra Serif" w:hAnsi="PT Astra Serif"/>
          <w:sz w:val="27"/>
        </w:rPr>
        <w:t> </w:t>
      </w:r>
    </w:p>
    <w:p w14:paraId="20000000">
      <w:pPr>
        <w:spacing w:after="269" w:before="269"/>
        <w:ind/>
        <w:jc w:val="both"/>
        <w:rPr>
          <w:rFonts w:ascii="Calibri" w:hAnsi="Calibri"/>
          <w:sz w:val="27"/>
        </w:rPr>
      </w:pPr>
      <w:r>
        <w:rPr>
          <w:rFonts w:ascii="PT Astra Serif" w:hAnsi="PT Astra Serif"/>
          <w:sz w:val="27"/>
        </w:rPr>
        <w:t>Глава сельсовета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rFonts w:ascii="Calibri" w:hAnsi="Calibri"/>
          <w:sz w:val="27"/>
        </w:rPr>
        <w:t xml:space="preserve">                Н.Н.Некипелова</w:t>
      </w:r>
    </w:p>
    <w:sectPr>
      <w:pgSz w:h="16840" w:orient="portrait" w:w="11920"/>
      <w:pgMar w:bottom="1000" w:footer="720" w:gutter="0" w:header="720" w:left="1358" w:right="660" w:top="11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403" w:left="114"/>
        <w:jc w:val="left"/>
      </w:pPr>
      <w:rPr>
        <w:spacing w:val="0"/>
      </w:rPr>
    </w:lvl>
    <w:lvl w:ilvl="1">
      <w:start w:val="1"/>
      <w:numFmt w:val="decimal"/>
      <w:lvlText w:val="%2)"/>
      <w:lvlJc w:val="left"/>
      <w:pPr>
        <w:ind w:hanging="296" w:left="1118"/>
        <w:jc w:val="left"/>
      </w:pPr>
      <w:rPr>
        <w:spacing w:val="0"/>
      </w:rPr>
    </w:lvl>
    <w:lvl w:ilvl="2">
      <w:numFmt w:val="bullet"/>
      <w:lvlText w:val="•"/>
      <w:lvlJc w:val="left"/>
      <w:pPr>
        <w:ind w:hanging="296" w:left="2080"/>
      </w:pPr>
    </w:lvl>
    <w:lvl w:ilvl="3">
      <w:numFmt w:val="bullet"/>
      <w:lvlText w:val="•"/>
      <w:lvlJc w:val="left"/>
      <w:pPr>
        <w:ind w:hanging="296" w:left="3040"/>
      </w:pPr>
    </w:lvl>
    <w:lvl w:ilvl="4">
      <w:numFmt w:val="bullet"/>
      <w:lvlText w:val="•"/>
      <w:lvlJc w:val="left"/>
      <w:pPr>
        <w:ind w:hanging="296" w:left="4000"/>
      </w:pPr>
    </w:lvl>
    <w:lvl w:ilvl="5">
      <w:numFmt w:val="bullet"/>
      <w:lvlText w:val="•"/>
      <w:lvlJc w:val="left"/>
      <w:pPr>
        <w:ind w:hanging="296" w:left="4960"/>
      </w:pPr>
    </w:lvl>
    <w:lvl w:ilvl="6">
      <w:numFmt w:val="bullet"/>
      <w:lvlText w:val="•"/>
      <w:lvlJc w:val="left"/>
      <w:pPr>
        <w:ind w:hanging="296" w:left="5920"/>
      </w:pPr>
    </w:lvl>
    <w:lvl w:ilvl="7">
      <w:numFmt w:val="bullet"/>
      <w:lvlText w:val="•"/>
      <w:lvlJc w:val="left"/>
      <w:pPr>
        <w:ind w:hanging="296" w:left="6880"/>
      </w:pPr>
    </w:lvl>
    <w:lvl w:ilvl="8">
      <w:numFmt w:val="bullet"/>
      <w:lvlText w:val="•"/>
      <w:lvlJc w:val="left"/>
      <w:pPr>
        <w:ind w:hanging="296" w:left="7840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182" w:left="145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hanging="182" w:left="1102"/>
      </w:pPr>
    </w:lvl>
    <w:lvl w:ilvl="2">
      <w:numFmt w:val="bullet"/>
      <w:lvlText w:val="•"/>
      <w:lvlJc w:val="left"/>
      <w:pPr>
        <w:ind w:hanging="182" w:left="2064"/>
      </w:pPr>
    </w:lvl>
    <w:lvl w:ilvl="3">
      <w:numFmt w:val="bullet"/>
      <w:lvlText w:val="•"/>
      <w:lvlJc w:val="left"/>
      <w:pPr>
        <w:ind w:hanging="182" w:left="3026"/>
      </w:pPr>
    </w:lvl>
    <w:lvl w:ilvl="4">
      <w:numFmt w:val="bullet"/>
      <w:lvlText w:val="•"/>
      <w:lvlJc w:val="left"/>
      <w:pPr>
        <w:ind w:hanging="182" w:left="3988"/>
      </w:pPr>
    </w:lvl>
    <w:lvl w:ilvl="5">
      <w:numFmt w:val="bullet"/>
      <w:lvlText w:val="•"/>
      <w:lvlJc w:val="left"/>
      <w:pPr>
        <w:ind w:hanging="182" w:left="4950"/>
      </w:pPr>
    </w:lvl>
    <w:lvl w:ilvl="6">
      <w:numFmt w:val="bullet"/>
      <w:lvlText w:val="•"/>
      <w:lvlJc w:val="left"/>
      <w:pPr>
        <w:ind w:hanging="182" w:left="5912"/>
      </w:pPr>
    </w:lvl>
    <w:lvl w:ilvl="7">
      <w:numFmt w:val="bullet"/>
      <w:lvlText w:val="•"/>
      <w:lvlJc w:val="left"/>
      <w:pPr>
        <w:ind w:hanging="182" w:left="6874"/>
      </w:pPr>
    </w:lvl>
    <w:lvl w:ilvl="8">
      <w:numFmt w:val="bullet"/>
      <w:lvlText w:val="•"/>
      <w:lvlJc w:val="left"/>
      <w:pPr>
        <w:ind w:hanging="182" w:left="783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Times New Roman" w:hAnsi="Times New Roman"/>
      <w:color w:val="000000"/>
      <w:sz w:val="22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widowControl w:val="0"/>
      <w:ind w:firstLine="0" w:left="200"/>
    </w:pPr>
    <w:rPr>
      <w:rFonts w:ascii="XO Thames" w:hAnsi="XO Thames"/>
      <w:color w:val="00000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z w:val="28"/>
    </w:rPr>
  </w:style>
  <w:style w:styleId="Style_5" w:type="paragraph">
    <w:name w:val="toc 4"/>
    <w:next w:val="Style_3"/>
    <w:link w:val="Style_5_ch"/>
    <w:uiPriority w:val="39"/>
    <w:pPr>
      <w:widowControl w:val="0"/>
      <w:ind w:firstLine="0" w:left="600"/>
    </w:pPr>
    <w:rPr>
      <w:rFonts w:ascii="XO Thames" w:hAnsi="XO Thames"/>
      <w:color w:val="00000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z w:val="28"/>
    </w:rPr>
  </w:style>
  <w:style w:styleId="Style_6" w:type="paragraph">
    <w:name w:val="toc 6"/>
    <w:next w:val="Style_3"/>
    <w:link w:val="Style_6_ch"/>
    <w:uiPriority w:val="39"/>
    <w:pPr>
      <w:widowControl w:val="0"/>
      <w:ind w:firstLine="0" w:left="1000"/>
    </w:pPr>
    <w:rPr>
      <w:rFonts w:ascii="XO Thames" w:hAnsi="XO Thames"/>
      <w:color w:val="00000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z w:val="28"/>
    </w:rPr>
  </w:style>
  <w:style w:styleId="Style_7" w:type="paragraph">
    <w:name w:val="toc 7"/>
    <w:next w:val="Style_3"/>
    <w:link w:val="Style_7_ch"/>
    <w:uiPriority w:val="39"/>
    <w:pPr>
      <w:widowControl w:val="0"/>
      <w:ind w:firstLine="0" w:left="1200"/>
    </w:pPr>
    <w:rPr>
      <w:rFonts w:ascii="XO Thames" w:hAnsi="XO Thames"/>
      <w:color w:val="00000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9_ch" w:type="character">
    <w:name w:val="heading 3"/>
    <w:link w:val="Style_9"/>
    <w:rPr>
      <w:rFonts w:ascii="XO Thames" w:hAnsi="XO Thames"/>
      <w:b w:val="1"/>
      <w:color w:val="000000"/>
      <w:sz w:val="26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able Paragraph"/>
    <w:basedOn w:val="Style_3"/>
    <w:link w:val="Style_11_ch"/>
  </w:style>
  <w:style w:styleId="Style_11_ch" w:type="character">
    <w:name w:val="Table Paragraph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widowControl w:val="0"/>
      <w:ind w:firstLine="0" w:left="400"/>
    </w:pPr>
    <w:rPr>
      <w:rFonts w:ascii="XO Thames" w:hAnsi="XO Thames"/>
      <w:color w:val="000000"/>
      <w:sz w:val="28"/>
    </w:rPr>
  </w:style>
  <w:style w:styleId="Style_12_ch" w:type="character">
    <w:name w:val="toc 3"/>
    <w:link w:val="Style_12"/>
    <w:rPr>
      <w:rFonts w:ascii="XO Thames" w:hAnsi="XO Thames"/>
      <w:color w:val="000000"/>
      <w:sz w:val="28"/>
    </w:rPr>
  </w:style>
  <w:style w:styleId="Style_13" w:type="paragraph">
    <w:name w:val="heading 5"/>
    <w:next w:val="Style_3"/>
    <w:link w:val="Style_13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3"/>
    <w:link w:val="Style_14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14_ch" w:type="character">
    <w:name w:val="heading 1"/>
    <w:link w:val="Style_14"/>
    <w:rPr>
      <w:rFonts w:ascii="XO Thames" w:hAnsi="XO Thames"/>
      <w:b w:val="1"/>
      <w:color w:val="000000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styleId="Style_16_ch" w:type="character">
    <w:name w:val="Footnote"/>
    <w:link w:val="Style_16"/>
    <w:rPr>
      <w:rFonts w:ascii="XO Thames" w:hAnsi="XO Thames"/>
      <w:color w:val="000000"/>
      <w:sz w:val="22"/>
    </w:rPr>
  </w:style>
  <w:style w:styleId="Style_17" w:type="paragraph">
    <w:name w:val="toc 1"/>
    <w:next w:val="Style_3"/>
    <w:link w:val="Style_17_ch"/>
    <w:uiPriority w:val="39"/>
    <w:pPr>
      <w:widowControl w:val="0"/>
      <w:ind/>
    </w:pPr>
    <w:rPr>
      <w:rFonts w:ascii="XO Thames" w:hAnsi="XO Thames"/>
      <w:b w:val="1"/>
      <w:color w:val="000000"/>
      <w:sz w:val="28"/>
    </w:rPr>
  </w:style>
  <w:style w:styleId="Style_17_ch" w:type="character">
    <w:name w:val="toc 1"/>
    <w:link w:val="Style_17"/>
    <w:rPr>
      <w:rFonts w:ascii="XO Thames" w:hAnsi="XO Thames"/>
      <w:b w:val="1"/>
      <w:color w:val="000000"/>
      <w:sz w:val="28"/>
    </w:rPr>
  </w:style>
  <w:style w:styleId="Style_18" w:type="paragraph">
    <w:name w:val="Header and Footer"/>
    <w:link w:val="Style_18_ch"/>
    <w:pPr>
      <w:widowControl w:val="0"/>
      <w:ind/>
      <w:jc w:val="both"/>
    </w:pPr>
    <w:rPr>
      <w:rFonts w:ascii="XO Thames" w:hAnsi="XO Thames"/>
      <w:color w:val="000000"/>
    </w:rPr>
  </w:style>
  <w:style w:styleId="Style_18_ch" w:type="character">
    <w:name w:val="Header and Footer"/>
    <w:link w:val="Style_18"/>
    <w:rPr>
      <w:rFonts w:ascii="XO Thames" w:hAnsi="XO Thames"/>
      <w:color w:val="000000"/>
    </w:rPr>
  </w:style>
  <w:style w:styleId="Style_19" w:type="paragraph">
    <w:name w:val="toc 9"/>
    <w:next w:val="Style_3"/>
    <w:link w:val="Style_19_ch"/>
    <w:uiPriority w:val="39"/>
    <w:pPr>
      <w:widowControl w:val="0"/>
      <w:ind w:firstLine="0" w:left="1600"/>
    </w:pPr>
    <w:rPr>
      <w:rFonts w:ascii="XO Thames" w:hAnsi="XO Thames"/>
      <w:color w:val="000000"/>
      <w:sz w:val="28"/>
    </w:rPr>
  </w:style>
  <w:style w:styleId="Style_19_ch" w:type="character">
    <w:name w:val="toc 9"/>
    <w:link w:val="Style_19"/>
    <w:rPr>
      <w:rFonts w:ascii="XO Thames" w:hAnsi="XO Thames"/>
      <w:color w:val="000000"/>
      <w:sz w:val="28"/>
    </w:rPr>
  </w:style>
  <w:style w:styleId="Style_2" w:type="paragraph">
    <w:name w:val="List Paragraph"/>
    <w:basedOn w:val="Style_3"/>
    <w:link w:val="Style_2_ch"/>
    <w:pPr>
      <w:ind w:hanging="303" w:left="146"/>
      <w:jc w:val="both"/>
    </w:pPr>
  </w:style>
  <w:style w:styleId="Style_2_ch" w:type="character">
    <w:name w:val="List Paragraph"/>
    <w:basedOn w:val="Style_3_ch"/>
    <w:link w:val="Style_2"/>
  </w:style>
  <w:style w:styleId="Style_20" w:type="paragraph">
    <w:name w:val="toc 8"/>
    <w:next w:val="Style_3"/>
    <w:link w:val="Style_20_ch"/>
    <w:uiPriority w:val="39"/>
    <w:pPr>
      <w:widowControl w:val="0"/>
      <w:ind w:firstLine="0" w:left="1400"/>
    </w:pPr>
    <w:rPr>
      <w:rFonts w:ascii="XO Thames" w:hAnsi="XO Thames"/>
      <w:color w:val="000000"/>
      <w:sz w:val="28"/>
    </w:rPr>
  </w:style>
  <w:style w:styleId="Style_20_ch" w:type="character">
    <w:name w:val="toc 8"/>
    <w:link w:val="Style_20"/>
    <w:rPr>
      <w:rFonts w:ascii="XO Thames" w:hAnsi="XO Thames"/>
      <w:color w:val="000000"/>
      <w:sz w:val="28"/>
    </w:rPr>
  </w:style>
  <w:style w:styleId="Style_21" w:type="paragraph">
    <w:name w:val="toc 5"/>
    <w:next w:val="Style_3"/>
    <w:link w:val="Style_21_ch"/>
    <w:uiPriority w:val="39"/>
    <w:pPr>
      <w:widowControl w:val="0"/>
      <w:ind w:firstLine="0" w:left="800"/>
    </w:pPr>
    <w:rPr>
      <w:rFonts w:ascii="XO Thames" w:hAnsi="XO Thames"/>
      <w:color w:val="000000"/>
      <w:sz w:val="28"/>
    </w:rPr>
  </w:style>
  <w:style w:styleId="Style_21_ch" w:type="character">
    <w:name w:val="toc 5"/>
    <w:link w:val="Style_21"/>
    <w:rPr>
      <w:rFonts w:ascii="XO Thames" w:hAnsi="XO Thames"/>
      <w:color w:val="000000"/>
      <w:sz w:val="28"/>
    </w:rPr>
  </w:style>
  <w:style w:styleId="Style_22" w:type="paragraph">
    <w:name w:val="Subtitle"/>
    <w:next w:val="Style_3"/>
    <w:link w:val="Style_22_ch"/>
    <w:uiPriority w:val="11"/>
    <w:qFormat/>
    <w:pPr>
      <w:widowControl w:val="0"/>
      <w:ind/>
      <w:jc w:val="both"/>
    </w:pPr>
    <w:rPr>
      <w:rFonts w:ascii="XO Thames" w:hAnsi="XO Thames"/>
      <w:i w:val="1"/>
      <w:color w:val="000000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000000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basedOn w:val="Style_3"/>
    <w:link w:val="Style_24_ch"/>
    <w:uiPriority w:val="10"/>
    <w:qFormat/>
    <w:pPr>
      <w:spacing w:line="380" w:lineRule="exact"/>
      <w:ind w:firstLine="0" w:left="44" w:right="93"/>
      <w:jc w:val="center"/>
    </w:pPr>
    <w:rPr>
      <w:sz w:val="36"/>
    </w:rPr>
  </w:style>
  <w:style w:styleId="Style_24_ch" w:type="character">
    <w:name w:val="Title"/>
    <w:basedOn w:val="Style_3_ch"/>
    <w:link w:val="Style_24"/>
    <w:rPr>
      <w:sz w:val="36"/>
    </w:rPr>
  </w:style>
  <w:style w:styleId="Style_25" w:type="paragraph">
    <w:name w:val="heading 4"/>
    <w:next w:val="Style_3"/>
    <w:link w:val="Style_25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25_ch" w:type="character">
    <w:name w:val="heading 4"/>
    <w:link w:val="Style_25"/>
    <w:rPr>
      <w:rFonts w:ascii="XO Thames" w:hAnsi="XO Thames"/>
      <w:b w:val="1"/>
      <w:color w:val="000000"/>
      <w:sz w:val="24"/>
    </w:rPr>
  </w:style>
  <w:style w:styleId="Style_26" w:type="paragraph">
    <w:name w:val="heading 2"/>
    <w:next w:val="Style_3"/>
    <w:link w:val="Style_2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26_ch" w:type="character">
    <w:name w:val="heading 2"/>
    <w:link w:val="Style_26"/>
    <w:rPr>
      <w:rFonts w:ascii="XO Thames" w:hAnsi="XO Thames"/>
      <w:b w:val="1"/>
      <w:color w:val="000000"/>
      <w:sz w:val="28"/>
    </w:rPr>
  </w:style>
  <w:style w:styleId="Style_1" w:type="paragraph">
    <w:name w:val="Body Text"/>
    <w:basedOn w:val="Style_3"/>
    <w:link w:val="Style_1_ch"/>
    <w:pPr>
      <w:ind/>
      <w:jc w:val="both"/>
    </w:pPr>
    <w:rPr>
      <w:sz w:val="28"/>
    </w:rPr>
  </w:style>
  <w:style w:styleId="Style_1_ch" w:type="character">
    <w:name w:val="Body Text"/>
    <w:basedOn w:val="Style_3_ch"/>
    <w:link w:val="Style_1"/>
    <w:rPr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2024-11-02T05:40:45Z</dcterms:modified>
</cp:coreProperties>
</file>