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1B" w:rsidRPr="00032D1B" w:rsidRDefault="00032D1B" w:rsidP="00032D1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32D1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32D1B">
        <w:rPr>
          <w:rFonts w:ascii="Arial" w:hAnsi="Arial" w:cs="Arial"/>
          <w:b/>
          <w:sz w:val="24"/>
          <w:szCs w:val="24"/>
        </w:rPr>
        <w:t>АДМИНИСТРАЦИЯ ВЕРХ-НЕНИНСКОГО СЕЛЬСОВЕТА</w:t>
      </w: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32D1B">
        <w:rPr>
          <w:rFonts w:ascii="Arial" w:hAnsi="Arial" w:cs="Arial"/>
          <w:b/>
          <w:sz w:val="24"/>
          <w:szCs w:val="24"/>
        </w:rPr>
        <w:t>ЕЛЬЦОВСКОГО РАЙОНА АЛТАЙСКОГО КРАЯ</w:t>
      </w: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32D1B">
        <w:rPr>
          <w:rFonts w:ascii="Arial" w:hAnsi="Arial" w:cs="Arial"/>
          <w:b/>
          <w:sz w:val="24"/>
          <w:szCs w:val="24"/>
        </w:rPr>
        <w:t>П</w:t>
      </w:r>
      <w:proofErr w:type="gramEnd"/>
      <w:r w:rsidRPr="00032D1B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sz w:val="24"/>
          <w:szCs w:val="24"/>
        </w:rPr>
      </w:pPr>
      <w:r w:rsidRPr="00032D1B">
        <w:rPr>
          <w:rFonts w:ascii="Arial" w:hAnsi="Arial" w:cs="Arial"/>
          <w:sz w:val="24"/>
          <w:szCs w:val="24"/>
        </w:rPr>
        <w:t xml:space="preserve">22.07.2020                                            с. </w:t>
      </w:r>
      <w:proofErr w:type="spellStart"/>
      <w:r w:rsidRPr="00032D1B">
        <w:rPr>
          <w:rFonts w:ascii="Arial" w:hAnsi="Arial" w:cs="Arial"/>
          <w:sz w:val="24"/>
          <w:szCs w:val="24"/>
        </w:rPr>
        <w:t>Верх-Неня</w:t>
      </w:r>
      <w:proofErr w:type="spellEnd"/>
      <w:r w:rsidRPr="00032D1B">
        <w:rPr>
          <w:rFonts w:ascii="Arial" w:hAnsi="Arial" w:cs="Arial"/>
          <w:sz w:val="24"/>
          <w:szCs w:val="24"/>
        </w:rPr>
        <w:t xml:space="preserve">                                                     №  22</w:t>
      </w: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32D1B" w:rsidRPr="00032D1B" w:rsidTr="008051D7">
        <w:tc>
          <w:tcPr>
            <w:tcW w:w="5210" w:type="dxa"/>
          </w:tcPr>
          <w:p w:rsidR="00032D1B" w:rsidRPr="00032D1B" w:rsidRDefault="00032D1B" w:rsidP="00032D1B">
            <w:pPr>
              <w:pStyle w:val="a4"/>
              <w:jc w:val="both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032D1B">
              <w:rPr>
                <w:rFonts w:ascii="Arial" w:hAnsi="Arial" w:cs="Arial"/>
                <w:color w:val="212121"/>
                <w:sz w:val="24"/>
                <w:szCs w:val="24"/>
              </w:rPr>
              <w:t xml:space="preserve"> Об утверждении Порядка организации сбора отработанных ртутьсодержащих ламп на территории МО </w:t>
            </w:r>
            <w:proofErr w:type="spellStart"/>
            <w:r w:rsidRPr="00032D1B">
              <w:rPr>
                <w:rFonts w:ascii="Arial" w:hAnsi="Arial" w:cs="Arial"/>
                <w:color w:val="212121"/>
                <w:sz w:val="24"/>
                <w:szCs w:val="24"/>
              </w:rPr>
              <w:t>Верх-Ненинский</w:t>
            </w:r>
            <w:proofErr w:type="spellEnd"/>
            <w:r w:rsidRPr="00032D1B">
              <w:rPr>
                <w:rFonts w:ascii="Arial" w:hAnsi="Arial" w:cs="Arial"/>
                <w:color w:val="212121"/>
                <w:sz w:val="24"/>
                <w:szCs w:val="24"/>
              </w:rPr>
              <w:t xml:space="preserve"> сельсовет </w:t>
            </w:r>
            <w:proofErr w:type="spellStart"/>
            <w:r w:rsidRPr="00032D1B">
              <w:rPr>
                <w:rFonts w:ascii="Arial" w:hAnsi="Arial" w:cs="Arial"/>
                <w:color w:val="212121"/>
                <w:sz w:val="24"/>
                <w:szCs w:val="24"/>
              </w:rPr>
              <w:t>Ельцовского</w:t>
            </w:r>
            <w:proofErr w:type="spellEnd"/>
            <w:r w:rsidRPr="00032D1B">
              <w:rPr>
                <w:rFonts w:ascii="Arial" w:hAnsi="Arial" w:cs="Arial"/>
                <w:color w:val="212121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211" w:type="dxa"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</w:tr>
    </w:tbl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         </w:t>
      </w:r>
      <w:proofErr w:type="gramStart"/>
      <w:r w:rsidRPr="00032D1B">
        <w:rPr>
          <w:rFonts w:ascii="Arial" w:hAnsi="Arial" w:cs="Arial"/>
          <w:color w:val="212121"/>
          <w:sz w:val="24"/>
          <w:szCs w:val="24"/>
        </w:rPr>
        <w:t>Во исполнение Постановления Правительства Российской Федерации от 03.09.2010г.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в соответствии с Федеральным законом от 06.10.2003 № 131-ФЗ "Об общих принципах организации местного</w:t>
      </w:r>
      <w:proofErr w:type="gramEnd"/>
      <w:r w:rsidRPr="00032D1B">
        <w:rPr>
          <w:rFonts w:ascii="Arial" w:hAnsi="Arial" w:cs="Arial"/>
          <w:color w:val="212121"/>
          <w:sz w:val="24"/>
          <w:szCs w:val="24"/>
        </w:rPr>
        <w:t xml:space="preserve"> самоуправления в Российской Федерации", на основании Устава МО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Верх-Ненинский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Ельцовского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района Алтайского края, </w:t>
      </w: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ПОСТАНОВЛЯЮ: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в МО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Верх-Ненинский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Ельцовского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района Алтайского края (приложение № 1).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 Утвердить Типовую инструкцию по организации накопления отработанных ртутьсодержащих отходов (далее – Типовая инструкция) (приложение № 2).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3. Определить на территории МО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Верх-Ненинский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Ельцовского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района Алтайского края место первичного сбора и размещения отработанных ртутьсодержащих ламп у потребителей ртутьсодержащих ламп специальный контейнер, расположенный по адресу: Алтайский край,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Ельцовский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район, с.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Верх-Неня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, ул. </w:t>
      </w:r>
      <w:proofErr w:type="gramStart"/>
      <w:r w:rsidRPr="00032D1B">
        <w:rPr>
          <w:rFonts w:ascii="Arial" w:hAnsi="Arial" w:cs="Arial"/>
          <w:color w:val="212121"/>
          <w:sz w:val="24"/>
          <w:szCs w:val="24"/>
        </w:rPr>
        <w:t>Школьная</w:t>
      </w:r>
      <w:proofErr w:type="gramEnd"/>
      <w:r w:rsidRPr="00032D1B">
        <w:rPr>
          <w:rFonts w:ascii="Arial" w:hAnsi="Arial" w:cs="Arial"/>
          <w:color w:val="212121"/>
          <w:sz w:val="24"/>
          <w:szCs w:val="24"/>
        </w:rPr>
        <w:t xml:space="preserve">, д.10а (здание гаража администрации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сельсовета).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4.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 и Типовой инструкцией, утвержденным настоящим постановлением.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5. 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Ельцовского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района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6. Контроль исполнения настоящего постановления оставляю за собой.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 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Глава администрации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сельсовета                                                                             М.В. Калачёва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Pr="00032D1B" w:rsidRDefault="00032D1B" w:rsidP="00032D1B">
      <w:pPr>
        <w:pStyle w:val="a4"/>
        <w:jc w:val="right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lastRenderedPageBreak/>
        <w:t>Приложение №1</w:t>
      </w:r>
    </w:p>
    <w:p w:rsidR="00032D1B" w:rsidRPr="00032D1B" w:rsidRDefault="00032D1B" w:rsidP="00032D1B">
      <w:pPr>
        <w:pStyle w:val="a4"/>
        <w:jc w:val="right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к постановлению администрации</w:t>
      </w:r>
    </w:p>
    <w:p w:rsidR="00032D1B" w:rsidRPr="00032D1B" w:rsidRDefault="00032D1B" w:rsidP="00032D1B">
      <w:pPr>
        <w:pStyle w:val="a4"/>
        <w:jc w:val="right"/>
        <w:rPr>
          <w:rFonts w:ascii="Arial" w:hAnsi="Arial" w:cs="Arial"/>
          <w:color w:val="212121"/>
          <w:sz w:val="24"/>
          <w:szCs w:val="24"/>
        </w:rPr>
      </w:pP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сельсовета</w:t>
      </w:r>
    </w:p>
    <w:p w:rsidR="00032D1B" w:rsidRPr="00032D1B" w:rsidRDefault="00032D1B" w:rsidP="00032D1B">
      <w:pPr>
        <w:pStyle w:val="a4"/>
        <w:jc w:val="right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от «22» июля 2020 № 22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 </w:t>
      </w: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Порядок</w:t>
      </w: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организации сбора отработанных ртутьсодержащих ламп на территории МО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Верх-Ненинский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Ельцовского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района Алтайского края</w:t>
      </w: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color w:val="212121"/>
          <w:sz w:val="24"/>
          <w:szCs w:val="24"/>
        </w:rPr>
      </w:pP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1.      Общие положения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1.1. Порядок организации сбора отработанных ртутьсодержащих ламп на территории МО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Верх-Ненинский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Ельцовского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района Алтайского края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1.2. </w:t>
      </w:r>
      <w:proofErr w:type="gramStart"/>
      <w:r w:rsidRPr="00032D1B">
        <w:rPr>
          <w:rFonts w:ascii="Arial" w:hAnsi="Arial" w:cs="Arial"/>
          <w:color w:val="212121"/>
          <w:sz w:val="24"/>
          <w:szCs w:val="24"/>
        </w:rPr>
        <w:t>Порядок разработан в соответствии с Федеральным законом от 24 июня 1998 года № 89-ФЗ "Об отходах производства и потребления", Постановлением Правительства Российской Федерации от 3 сентября 2010 года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</w:t>
      </w:r>
      <w:proofErr w:type="gramEnd"/>
      <w:r w:rsidRPr="00032D1B">
        <w:rPr>
          <w:rFonts w:ascii="Arial" w:hAnsi="Arial" w:cs="Arial"/>
          <w:color w:val="212121"/>
          <w:sz w:val="24"/>
          <w:szCs w:val="24"/>
        </w:rPr>
        <w:t xml:space="preserve"> животным, растениям и окружающей среде".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1.3. </w:t>
      </w:r>
      <w:proofErr w:type="gramStart"/>
      <w:r w:rsidRPr="00032D1B">
        <w:rPr>
          <w:rFonts w:ascii="Arial" w:hAnsi="Arial" w:cs="Arial"/>
          <w:color w:val="212121"/>
          <w:sz w:val="24"/>
          <w:szCs w:val="24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МО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Верх-Ненинский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Ельцовского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района Алтайского края,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МО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Верх-Ненинский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Ельцовского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района Алтайского края</w:t>
      </w:r>
      <w:proofErr w:type="gramEnd"/>
      <w:r w:rsidRPr="00032D1B">
        <w:rPr>
          <w:rFonts w:ascii="Arial" w:hAnsi="Arial" w:cs="Arial"/>
          <w:color w:val="212121"/>
          <w:sz w:val="24"/>
          <w:szCs w:val="24"/>
        </w:rPr>
        <w:t xml:space="preserve"> (далее - потребители).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1.4. Сбор, накопление, хранение и транспортирование ртутьсодержащих ламп потребителей осуществляется на основании требований действующего федерального и регионального природоохранного законодательства в соответствии с утвержденной разрешительной документацией.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1.5. Термины и определения, используемые в настоящем Порядке: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- отработанные ртутьсодержащие лампы - ртутьсодержащие отходы, представляющие </w:t>
      </w:r>
      <w:proofErr w:type="gramStart"/>
      <w:r w:rsidRPr="00032D1B">
        <w:rPr>
          <w:rFonts w:ascii="Arial" w:hAnsi="Arial" w:cs="Arial"/>
          <w:color w:val="212121"/>
          <w:sz w:val="24"/>
          <w:szCs w:val="24"/>
        </w:rPr>
        <w:t>собой</w:t>
      </w:r>
      <w:proofErr w:type="gramEnd"/>
      <w:r w:rsidRPr="00032D1B">
        <w:rPr>
          <w:rFonts w:ascii="Arial" w:hAnsi="Arial" w:cs="Arial"/>
          <w:color w:val="212121"/>
          <w:sz w:val="24"/>
          <w:szCs w:val="24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- потребители ртутьсодержащих лам</w:t>
      </w:r>
      <w:proofErr w:type="gramStart"/>
      <w:r w:rsidRPr="00032D1B">
        <w:rPr>
          <w:rFonts w:ascii="Arial" w:hAnsi="Arial" w:cs="Arial"/>
          <w:color w:val="212121"/>
          <w:sz w:val="24"/>
          <w:szCs w:val="24"/>
        </w:rPr>
        <w:t>п-</w:t>
      </w:r>
      <w:proofErr w:type="gramEnd"/>
      <w:r w:rsidRPr="00032D1B">
        <w:rPr>
          <w:rFonts w:ascii="Arial" w:hAnsi="Arial" w:cs="Arial"/>
          <w:color w:val="212121"/>
          <w:sz w:val="24"/>
          <w:szCs w:val="24"/>
        </w:rPr>
        <w:t xml:space="preserve">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- накопление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- 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lastRenderedPageBreak/>
        <w:t>- место первичного сбора и размещения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- тара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- герметичность тары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 Организация сбора отработанных ртутьсодержащих ламп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2.1. Сбору, в соответствии с Порядком,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2.2.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2.3. Потребители ртутьсодержащих ламп (кроме физических лиц),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2.4. Потребители - физические лица - не вправе осуществлять временное хранение (накопление) отработанных ртутьсодержащих ламп.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2.5. </w:t>
      </w:r>
      <w:proofErr w:type="gramStart"/>
      <w:r w:rsidRPr="00032D1B">
        <w:rPr>
          <w:rFonts w:ascii="Arial" w:hAnsi="Arial" w:cs="Arial"/>
          <w:color w:val="212121"/>
          <w:sz w:val="24"/>
          <w:szCs w:val="24"/>
        </w:rPr>
        <w:t xml:space="preserve">На территории МО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Верх-Ненинский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Ельцовского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района Алтайского края потребители - физические лица -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032D1B">
        <w:rPr>
          <w:rFonts w:ascii="Arial" w:hAnsi="Arial" w:cs="Arial"/>
          <w:color w:val="212121"/>
          <w:sz w:val="24"/>
          <w:szCs w:val="24"/>
        </w:rPr>
        <w:t xml:space="preserve"> Для принятия указанных обязательств администрацией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сельсоветамогут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заключаться соглашения (договора) о сотрудничестве между администрацией и названными лицами.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других местах.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2.7. Накопление отработанных ртутьсодержащих ламп в местах, являющихся общим имуществом собственников помещений многоквартирного дома, не допускается. Накопление должно производиться в соответствии с требованиями "ГОСТ 12.3.031-83. Система стандартов безопасности труда. Работы с ртутью. Требования безопасности", Санитарных правил при работе с ртутью, ее соединениями и приборами с ртутным заполнением, утвержденных Главным государственным санитарным врачом СССР 04.04.1988 N 4607-88.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2.8. Накопление отработанных ртутьсодержащих ламп производится отдельно от других видов отходов в местах первичного сбора и размещения.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2.9. Временное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герметичной таре.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2.11. Юридические лица и индивидуальные предприниматели назначают в установленном порядке ответственных лиц за обращением с указанными отходами, разрабатывают инструкции по организации накопления отработанных ртутьсодержащих </w:t>
      </w:r>
      <w:r w:rsidRPr="00032D1B">
        <w:rPr>
          <w:rFonts w:ascii="Arial" w:hAnsi="Arial" w:cs="Arial"/>
          <w:color w:val="212121"/>
          <w:sz w:val="24"/>
          <w:szCs w:val="24"/>
        </w:rPr>
        <w:lastRenderedPageBreak/>
        <w:t>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 (приложение № 2).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соглашений (договоров) с потребителями ртутьсодержащих ламп.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2.14. Категорически запрещается утилизировать (выбрасывать) ртутьсодержащие отходы в местах сбора твердых бытовых отходов - контейнеры и контейнерные площадки, уличные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мусоросборные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емкости, а также загружать в емкости автотранспортных средств коммунальных служб.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2.15. </w:t>
      </w:r>
      <w:proofErr w:type="gramStart"/>
      <w:r w:rsidRPr="00032D1B">
        <w:rPr>
          <w:rFonts w:ascii="Arial" w:hAnsi="Arial" w:cs="Arial"/>
          <w:color w:val="212121"/>
          <w:sz w:val="24"/>
          <w:szCs w:val="24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 w:rsidRPr="00032D1B">
        <w:rPr>
          <w:rFonts w:ascii="Arial" w:hAnsi="Arial" w:cs="Arial"/>
          <w:color w:val="212121"/>
          <w:sz w:val="24"/>
          <w:szCs w:val="24"/>
        </w:rPr>
        <w:t xml:space="preserve"> их информирование.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3. Информирование потребителей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3.1. Информирование о порядке сбора и определения места первичного сбора и размещения отработанных ртутьсодержащих ламп осуществляется администрацией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сельсовета, юридическими лицами и индивидуальными предпринимателями, специализированными организациями, осуществляющими накопление и реализацию ртутьсодержащих ламп.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3.2. Информация о порядке сбора отработанных ртутьсодержащих ламп размещается на информационных стендах (стойках) на территории МО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Верх-Ненинский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Ельцовского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района Алтайского края, в местах реализации ртутьсодержащих ламп, по месту нахождения специализированных организаций занимающихся сбором, хранением, транспортировкой и утилизацией отработанных ртутьсодержащих ламп.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3.3. Размещению подлежит следующая информация: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- порядок организации сбора отработанных ртутьсодержащих ламп;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демеркуризационных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мероприятий, с указанием места нахождения и контактных телефонов;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- места и условия приема отработанных ртутьсодержащих ламп;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3.4.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сельсовета.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4. Ответственность за нарушение правил обращения с отработанными ртутьсодержащими лампами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4.1. За несоблюдение требований в области обращения с ртутьсодержащими отходами на территории МО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Верх-Ненинский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Ельцовского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района Алтайского края физические, юридические лица и индивидуальные предприниматели несут ответственность в соответствии с действующим законодательством РФ.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4.2. </w:t>
      </w:r>
      <w:proofErr w:type="gramStart"/>
      <w:r w:rsidRPr="00032D1B">
        <w:rPr>
          <w:rFonts w:ascii="Arial" w:hAnsi="Arial" w:cs="Arial"/>
          <w:color w:val="212121"/>
          <w:sz w:val="24"/>
          <w:szCs w:val="24"/>
        </w:rPr>
        <w:t>Контроль за</w:t>
      </w:r>
      <w:proofErr w:type="gramEnd"/>
      <w:r w:rsidRPr="00032D1B">
        <w:rPr>
          <w:rFonts w:ascii="Arial" w:hAnsi="Arial" w:cs="Arial"/>
          <w:color w:val="212121"/>
          <w:sz w:val="24"/>
          <w:szCs w:val="24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Алтайского края.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4.3.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lastRenderedPageBreak/>
        <w:t> </w:t>
      </w:r>
    </w:p>
    <w:p w:rsidR="00032D1B" w:rsidRPr="00032D1B" w:rsidRDefault="00032D1B" w:rsidP="00032D1B">
      <w:pPr>
        <w:pStyle w:val="a4"/>
        <w:jc w:val="right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Приложение № 2</w:t>
      </w:r>
    </w:p>
    <w:p w:rsidR="00032D1B" w:rsidRPr="00032D1B" w:rsidRDefault="00032D1B" w:rsidP="00032D1B">
      <w:pPr>
        <w:pStyle w:val="a4"/>
        <w:jc w:val="right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к постановлению администрации</w:t>
      </w:r>
    </w:p>
    <w:p w:rsidR="00032D1B" w:rsidRPr="00032D1B" w:rsidRDefault="00032D1B" w:rsidP="00032D1B">
      <w:pPr>
        <w:pStyle w:val="a4"/>
        <w:jc w:val="right"/>
        <w:rPr>
          <w:rFonts w:ascii="Arial" w:hAnsi="Arial" w:cs="Arial"/>
          <w:color w:val="212121"/>
          <w:sz w:val="24"/>
          <w:szCs w:val="24"/>
        </w:rPr>
      </w:pP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Верх-Ненинского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 xml:space="preserve"> сельсовета</w:t>
      </w:r>
    </w:p>
    <w:p w:rsidR="00032D1B" w:rsidRPr="00032D1B" w:rsidRDefault="00032D1B" w:rsidP="00032D1B">
      <w:pPr>
        <w:pStyle w:val="a4"/>
        <w:jc w:val="right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от «22» июля 2020 № 22 </w:t>
      </w:r>
    </w:p>
    <w:p w:rsidR="00032D1B" w:rsidRPr="00032D1B" w:rsidRDefault="00032D1B" w:rsidP="00032D1B">
      <w:pPr>
        <w:pStyle w:val="a4"/>
        <w:jc w:val="right"/>
        <w:rPr>
          <w:rFonts w:ascii="Arial" w:hAnsi="Arial" w:cs="Arial"/>
          <w:color w:val="212121"/>
          <w:sz w:val="24"/>
          <w:szCs w:val="24"/>
        </w:rPr>
      </w:pP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Типовая инструкция</w:t>
      </w: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по организации накопления отработанных ртутьсодержащих отходов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1. Общие положения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1.1. Понятия, используемые в настоящей Типовой инструкции: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032D1B">
        <w:rPr>
          <w:rFonts w:ascii="Arial" w:hAnsi="Arial" w:cs="Arial"/>
          <w:color w:val="212121"/>
          <w:sz w:val="24"/>
          <w:szCs w:val="24"/>
        </w:rPr>
        <w:t>демеркуризацию</w:t>
      </w:r>
      <w:proofErr w:type="spellEnd"/>
      <w:r w:rsidRPr="00032D1B">
        <w:rPr>
          <w:rFonts w:ascii="Arial" w:hAnsi="Arial" w:cs="Arial"/>
          <w:color w:val="212121"/>
          <w:sz w:val="24"/>
          <w:szCs w:val="24"/>
        </w:rPr>
        <w:t>;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032D1B">
        <w:rPr>
          <w:rFonts w:ascii="Arial" w:hAnsi="Arial" w:cs="Arial"/>
          <w:color w:val="212121"/>
          <w:sz w:val="24"/>
          <w:szCs w:val="24"/>
        </w:rPr>
        <w:t>сердечно-сосудистую</w:t>
      </w:r>
      <w:proofErr w:type="spellEnd"/>
      <w:proofErr w:type="gramEnd"/>
      <w:r w:rsidRPr="00032D1B">
        <w:rPr>
          <w:rFonts w:ascii="Arial" w:hAnsi="Arial" w:cs="Arial"/>
          <w:color w:val="212121"/>
          <w:sz w:val="24"/>
          <w:szCs w:val="24"/>
        </w:rPr>
        <w:t xml:space="preserve"> систему, органы пищеварения.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 Условия хранения отработанных ртутьсодержащих ламп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2.1. Главным условием при замене и сборе ОРТЛ является сохранение герметичности.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2.3. В процессе сбора лампы разделяются по диаметру и длине.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2.4. Тарой для сбора ОРТЛ являются целые индивидуальные коробки из жесткого картона.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2.7. Лампы в коробку должны укладываться плотно.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 xml:space="preserve">2.10. При разбитии ОРТЛ контейнер для хранения (место разбития) необходимо обработать 10%-м раствором перманганата калия и смыть водой. Осколки собираются </w:t>
      </w:r>
      <w:r w:rsidRPr="00032D1B">
        <w:rPr>
          <w:rFonts w:ascii="Arial" w:hAnsi="Arial" w:cs="Arial"/>
          <w:color w:val="212121"/>
          <w:sz w:val="24"/>
          <w:szCs w:val="24"/>
        </w:rPr>
        <w:lastRenderedPageBreak/>
        <w:t>щеткой или скребком в металлический контейнер (специальную тару) с плотно закрывающейся крышкой.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Выбрасывать ртутьсодержащие лампы в мусорные баки категорически запрещается!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2.12. Запрещается: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- Накапливать лампы под открытым небом.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- Накапливать в таких местах, где к ним могут иметь доступ дети.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- Накапливать лампы без тары.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- Накапливать лампы в мягких картонных коробках, уложенных друг на друга.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- Накапливать лампы на грунтовой поверхности.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3.Учет отработанных ртутьсодержащих ламп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3.2. Страницы журнала должны быть пронумерованы, прошнурованы и скреплены.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4. Порядок сдачи, транспортировки и перевозки отработанных ртутьсодержащих ламп на утилизирующие предприятия.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4.1. ОРТЛ сдаются на утилизацию один раз за отчетный период, но не реже  1 раза в год.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 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p w:rsidR="00032D1B" w:rsidRDefault="00032D1B" w:rsidP="00032D1B">
      <w:pPr>
        <w:pStyle w:val="a4"/>
        <w:jc w:val="right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lastRenderedPageBreak/>
        <w:t>Приложение</w:t>
      </w:r>
      <w:r>
        <w:rPr>
          <w:rFonts w:ascii="Arial" w:hAnsi="Arial" w:cs="Arial"/>
          <w:color w:val="212121"/>
          <w:sz w:val="24"/>
          <w:szCs w:val="24"/>
        </w:rPr>
        <w:t xml:space="preserve"> к инструкции</w:t>
      </w:r>
    </w:p>
    <w:p w:rsidR="00032D1B" w:rsidRPr="00032D1B" w:rsidRDefault="00032D1B" w:rsidP="00032D1B">
      <w:pPr>
        <w:pStyle w:val="a4"/>
        <w:jc w:val="center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                                                                              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05"/>
      </w:tblGrid>
      <w:tr w:rsidR="00032D1B" w:rsidRPr="00032D1B" w:rsidTr="00032D1B">
        <w:tc>
          <w:tcPr>
            <w:tcW w:w="10214" w:type="dxa"/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ТИПОВАЯ ФОРМА ЖУРНАЛА УЧЕТА</w:t>
            </w:r>
          </w:p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ДВИЖЕНИЯ ОТРАБОТАННЫХ РТУТЬСОДЕРЖАЩИХ ЛАМП</w:t>
            </w:r>
          </w:p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«наименование предприятия»</w:t>
            </w:r>
          </w:p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Начат ___________ 20___г.</w:t>
            </w:r>
          </w:p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 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r w:rsidRPr="00032D1B">
        <w:rPr>
          <w:rFonts w:ascii="Arial" w:hAnsi="Arial" w:cs="Arial"/>
          <w:color w:val="212121"/>
          <w:sz w:val="24"/>
          <w:szCs w:val="24"/>
        </w:rPr>
        <w:t> </w:t>
      </w:r>
    </w:p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219"/>
        <w:gridCol w:w="2284"/>
        <w:gridCol w:w="2447"/>
        <w:gridCol w:w="993"/>
        <w:gridCol w:w="1723"/>
      </w:tblGrid>
      <w:tr w:rsidR="00032D1B" w:rsidRPr="00032D1B" w:rsidTr="008051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Наименование лампы, ртутьсодержащего прибора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Сдано специализированной организации,</w:t>
            </w:r>
          </w:p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Остаток,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Ответственное лицо</w:t>
            </w:r>
          </w:p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(Ф.И.О./ подпись)</w:t>
            </w:r>
          </w:p>
        </w:tc>
      </w:tr>
      <w:tr w:rsidR="00032D1B" w:rsidRPr="00032D1B" w:rsidTr="008051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D1B" w:rsidRPr="00032D1B" w:rsidRDefault="00032D1B" w:rsidP="00032D1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32D1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032D1B" w:rsidRPr="00032D1B" w:rsidRDefault="00032D1B" w:rsidP="00032D1B">
      <w:pPr>
        <w:pStyle w:val="a4"/>
        <w:rPr>
          <w:rFonts w:ascii="Arial" w:hAnsi="Arial" w:cs="Arial"/>
          <w:color w:val="212121"/>
          <w:sz w:val="24"/>
          <w:szCs w:val="24"/>
        </w:rPr>
      </w:pPr>
      <w:bookmarkStart w:id="0" w:name="_GoBack"/>
      <w:bookmarkEnd w:id="0"/>
    </w:p>
    <w:p w:rsidR="00BE5107" w:rsidRPr="00032D1B" w:rsidRDefault="00BE5107" w:rsidP="00032D1B">
      <w:pPr>
        <w:pStyle w:val="a4"/>
        <w:rPr>
          <w:rFonts w:ascii="Arial" w:hAnsi="Arial" w:cs="Arial"/>
          <w:sz w:val="24"/>
          <w:szCs w:val="24"/>
        </w:rPr>
      </w:pPr>
    </w:p>
    <w:sectPr w:rsidR="00BE5107" w:rsidRPr="00032D1B" w:rsidSect="009B7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D1B"/>
    <w:rsid w:val="00032D1B"/>
    <w:rsid w:val="00B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32D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032D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2688</Words>
  <Characters>15326</Characters>
  <Application>Microsoft Office Word</Application>
  <DocSecurity>0</DocSecurity>
  <Lines>127</Lines>
  <Paragraphs>35</Paragraphs>
  <ScaleCrop>false</ScaleCrop>
  <Company/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2020-12-15T09:20:00Z</dcterms:created>
  <dcterms:modified xsi:type="dcterms:W3CDTF">2020-12-15T09:25:00Z</dcterms:modified>
</cp:coreProperties>
</file>